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8DF4E" w14:textId="4DE1B96D" w:rsidR="00E90E49" w:rsidRPr="009809DD" w:rsidRDefault="006675E4" w:rsidP="00E35559">
      <w:pPr>
        <w:pStyle w:val="3GPPHeader"/>
        <w:spacing w:after="60"/>
        <w:rPr>
          <w:sz w:val="32"/>
          <w:szCs w:val="32"/>
          <w:highlight w:val="yellow"/>
        </w:rPr>
      </w:pPr>
      <w:r w:rsidRPr="006675E4">
        <w:t>3GPP TSG-RAN WG2 Meeting #</w:t>
      </w:r>
      <w:r w:rsidR="00EB68C1">
        <w:t>10</w:t>
      </w:r>
      <w:r w:rsidR="00BA5DA3">
        <w:t>7</w:t>
      </w:r>
      <w:r w:rsidR="00E90E49" w:rsidRPr="009809DD">
        <w:tab/>
      </w:r>
      <w:bookmarkStart w:id="0" w:name="_GoBack"/>
      <w:r w:rsidR="0029495A" w:rsidRPr="0029495A">
        <w:rPr>
          <w:sz w:val="32"/>
          <w:szCs w:val="32"/>
        </w:rPr>
        <w:t>R2-1910658</w:t>
      </w:r>
      <w:bookmarkEnd w:id="0"/>
    </w:p>
    <w:p w14:paraId="46EB98CA" w14:textId="46285A5C" w:rsidR="00E90E49" w:rsidRPr="003B5E57" w:rsidRDefault="00BA5DA3" w:rsidP="00311702">
      <w:pPr>
        <w:pStyle w:val="3GPPHeader"/>
        <w:rPr>
          <w:sz w:val="18"/>
        </w:rPr>
      </w:pPr>
      <w:r>
        <w:t>Pra</w:t>
      </w:r>
      <w:r w:rsidR="00303162">
        <w:t>gue</w:t>
      </w:r>
      <w:r w:rsidR="00EB68C1" w:rsidRPr="00EB68C1">
        <w:t xml:space="preserve">, </w:t>
      </w:r>
      <w:r w:rsidR="00303162">
        <w:t>CZ</w:t>
      </w:r>
      <w:r w:rsidR="00EB68C1" w:rsidRPr="00EB68C1">
        <w:t>, 2</w:t>
      </w:r>
      <w:r w:rsidR="00303162">
        <w:t>6</w:t>
      </w:r>
      <w:r w:rsidR="00EB68C1" w:rsidRPr="00EB68C1">
        <w:t xml:space="preserve">th – </w:t>
      </w:r>
      <w:r w:rsidR="00303162">
        <w:t>30th</w:t>
      </w:r>
      <w:r w:rsidR="00EB68C1" w:rsidRPr="00EB68C1">
        <w:t xml:space="preserve"> </w:t>
      </w:r>
      <w:r w:rsidR="00303162">
        <w:t>of August</w:t>
      </w:r>
      <w:r w:rsidR="00EB68C1" w:rsidRPr="00EB68C1">
        <w:t xml:space="preserve"> 201</w:t>
      </w:r>
      <w:r w:rsidR="00303162">
        <w:t>9</w:t>
      </w:r>
      <w:r w:rsidR="003B5E57">
        <w:tab/>
      </w:r>
    </w:p>
    <w:p w14:paraId="690C12EF" w14:textId="77777777" w:rsidR="008614FD" w:rsidRPr="00F051A7" w:rsidRDefault="008614FD" w:rsidP="00311702">
      <w:pPr>
        <w:pStyle w:val="3GPPHeader"/>
        <w:rPr>
          <w:sz w:val="22"/>
          <w:szCs w:val="22"/>
          <w:lang w:val="en-US"/>
        </w:rPr>
      </w:pPr>
    </w:p>
    <w:p w14:paraId="6635BB42" w14:textId="5A0A61DD" w:rsidR="00E90E49" w:rsidRPr="00F051A7" w:rsidRDefault="00E90E49" w:rsidP="00311702">
      <w:pPr>
        <w:pStyle w:val="3GPPHeader"/>
        <w:rPr>
          <w:sz w:val="22"/>
          <w:szCs w:val="22"/>
          <w:lang w:val="en-US"/>
        </w:rPr>
      </w:pPr>
      <w:r w:rsidRPr="00F051A7">
        <w:rPr>
          <w:sz w:val="22"/>
          <w:szCs w:val="22"/>
          <w:lang w:val="en-US"/>
        </w:rPr>
        <w:t>Agenda Item:</w:t>
      </w:r>
      <w:r w:rsidRPr="00F051A7">
        <w:rPr>
          <w:sz w:val="22"/>
          <w:szCs w:val="22"/>
          <w:lang w:val="en-US"/>
        </w:rPr>
        <w:tab/>
      </w:r>
      <w:r w:rsidR="00DA7077" w:rsidRPr="00F051A7">
        <w:rPr>
          <w:sz w:val="22"/>
          <w:szCs w:val="22"/>
          <w:lang w:val="en-US"/>
        </w:rPr>
        <w:t>1</w:t>
      </w:r>
      <w:r w:rsidR="00303162">
        <w:rPr>
          <w:sz w:val="22"/>
          <w:szCs w:val="22"/>
          <w:lang w:val="en-US"/>
        </w:rPr>
        <w:t xml:space="preserve">1.8.2.1 </w:t>
      </w:r>
    </w:p>
    <w:p w14:paraId="365DB4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F211A1" w14:textId="14B79DFA" w:rsidR="00E90E49" w:rsidRPr="00CE0424" w:rsidRDefault="003D3C45" w:rsidP="00311702">
      <w:pPr>
        <w:pStyle w:val="3GPPHeader"/>
        <w:rPr>
          <w:sz w:val="22"/>
          <w:szCs w:val="22"/>
        </w:rPr>
      </w:pPr>
      <w:r>
        <w:rPr>
          <w:sz w:val="22"/>
          <w:szCs w:val="22"/>
        </w:rPr>
        <w:t>Title:</w:t>
      </w:r>
      <w:r w:rsidR="00E90E49" w:rsidRPr="00CE0424">
        <w:rPr>
          <w:sz w:val="22"/>
          <w:szCs w:val="22"/>
        </w:rPr>
        <w:tab/>
      </w:r>
      <w:r w:rsidR="00A7054D">
        <w:rPr>
          <w:sz w:val="22"/>
          <w:szCs w:val="22"/>
        </w:rPr>
        <w:t>NR u</w:t>
      </w:r>
      <w:r w:rsidR="00303162">
        <w:rPr>
          <w:sz w:val="22"/>
          <w:szCs w:val="22"/>
        </w:rPr>
        <w:t>plink positioning</w:t>
      </w:r>
    </w:p>
    <w:p w14:paraId="0AE4B699" w14:textId="033DB492" w:rsidR="00FB7E40" w:rsidRDefault="00E90E49" w:rsidP="00FB7E40">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39B5B4C5" w:rsidR="00E90E49" w:rsidRDefault="00E90E49" w:rsidP="00CE0424">
      <w:pPr>
        <w:pStyle w:val="Heading1"/>
      </w:pPr>
      <w:r w:rsidRPr="00CE0424">
        <w:t>Introduction</w:t>
      </w:r>
    </w:p>
    <w:p w14:paraId="07BFD13D" w14:textId="5E016B34" w:rsidR="00FB0FB4" w:rsidRDefault="00FB0FB4" w:rsidP="00FB0FB4">
      <w:r w:rsidRPr="00FB0FB4">
        <w:t>According to [1], the following has been agreed that:</w:t>
      </w:r>
    </w:p>
    <w:p w14:paraId="65A222A7" w14:textId="777A9662" w:rsidR="00FB0FB4" w:rsidRPr="00FB0FB4" w:rsidRDefault="00FB0FB4" w:rsidP="00FB0FB4">
      <w:r>
        <w:rPr>
          <w:noProof/>
        </w:rPr>
        <mc:AlternateContent>
          <mc:Choice Requires="wps">
            <w:drawing>
              <wp:anchor distT="0" distB="0" distL="114300" distR="114300" simplePos="0" relativeHeight="251658240" behindDoc="0" locked="0" layoutInCell="1" allowOverlap="1" wp14:anchorId="06878DD3" wp14:editId="07BA4E9E">
                <wp:simplePos x="0" y="0"/>
                <wp:positionH relativeFrom="column">
                  <wp:posOffset>55414</wp:posOffset>
                </wp:positionH>
                <wp:positionV relativeFrom="paragraph">
                  <wp:posOffset>124918</wp:posOffset>
                </wp:positionV>
                <wp:extent cx="6097905" cy="627710"/>
                <wp:effectExtent l="0" t="0" r="17145" b="20320"/>
                <wp:wrapNone/>
                <wp:docPr id="2" name="Rectangle 2"/>
                <wp:cNvGraphicFramePr/>
                <a:graphic xmlns:a="http://schemas.openxmlformats.org/drawingml/2006/main">
                  <a:graphicData uri="http://schemas.microsoft.com/office/word/2010/wordprocessingShape">
                    <wps:wsp>
                      <wps:cNvSpPr/>
                      <wps:spPr>
                        <a:xfrm>
                          <a:off x="0" y="0"/>
                          <a:ext cx="6097905" cy="6277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6983D1" id="Rectangle 2" o:spid="_x0000_s1026" style="position:absolute;margin-left:4.35pt;margin-top:9.85pt;width:480.15pt;height:49.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VLylQIAAIQFAAAOAAAAZHJzL2Uyb0RvYy54bWysVEtv2zAMvg/YfxB0X/1A2qxBnSJI0WFA&#10;0RZth55VWYoNSKImKXGyXz9KfiToih2G5eCIIvmR/ETy6nqvFdkJ51swFS3OckqE4VC3ZlPRHy+3&#10;X75S4gMzNVNgREUPwtPr5edPV51diBIaULVwBEGMX3S2ok0IdpFlnjdCM38GVhhUSnCaBRTdJqsd&#10;6xBdq6zM84usA1dbB1x4j7c3vZIuE76UgocHKb0IRFUUcwvp69L3LX6z5RVbbByzTcuHNNg/ZKFZ&#10;azDoBHXDAiNb1/4BpVvuwIMMZxx0BlK2XKQasJoif1fNc8OsSLUgOd5ONPn/B8vvd4+OtHVFS0oM&#10;0/hET0gaMxslSBnp6axfoNWzfXSD5PEYa91Lp+M/VkH2idLDRKnYB8Lx8iK/nF/m55Rw1F2U83mR&#10;OM+O3tb58E2AJvFQUYfRE5Nsd+cDRkTT0SQGM3DbKpWeTZl44UG1dbxLQuwbsVaO7Bi+eNgXsQSE&#10;OLFCKXpmsbC+lHQKByUihDJPQiIjmHyZEkm9eMRknAsTil7VsFr0oc5z/I3BxixS6AQYkSUmOWEP&#10;AKNlDzJi9zkP9tFVpFaenPO/JdY7Tx4pMpgwOevWgPsIQGFVQ+TefiSppyay9Ab1AfvFQT9I3vLb&#10;Fp/tjvnwyBxODs4YboPwgB+poKsoDCdKGnC/PrqP9tjQqKWkw0msqP+5ZU5Qor4bbPXLYjaLo5uE&#10;2fm8RMGdat5ONWar14BPX+DesTwdo31Q41E60K+4NFYxKqqY4Ri7ojy4UViHfkPg2uFitUpmOK6W&#10;hTvzbHkEj6zGtnzZvzJnh94N2PX3ME4tW7xr4d42ehpYbQPINvX3kdeBbxz11DjDWoq75FROVsfl&#10;ufwNAAD//wMAUEsDBBQABgAIAAAAIQAuIUt/3QAAAAgBAAAPAAAAZHJzL2Rvd25yZXYueG1sTE89&#10;T8MwEN2R+A/WIbFU1AlDSEKcCoFAHRBSCx26XeIjDo3tKHbb8O85JphO70Pv3qtWsx3EiabQe6cg&#10;XSYgyLVe965T8PH+fJODCBGdxsE7UvBNAVb15UWFpfZnt6HTNnaCQ1woUYGJcSylDK0hi2HpR3Ks&#10;ffrJYmQ4dVJPeOZwO8jbJMmkxd7xB4MjPRpqD9ujVbBfz7H7Sl/i6wEXu8XaNO3bU6PU9dX8cA8i&#10;0hz/zPBbn6tDzZ0af3Q6iEFBfsdGpgu+LBdZwdMaJtI8A1lX8v+A+gcAAP//AwBQSwECLQAUAAYA&#10;CAAAACEAtoM4kv4AAADhAQAAEwAAAAAAAAAAAAAAAAAAAAAAW0NvbnRlbnRfVHlwZXNdLnhtbFBL&#10;AQItABQABgAIAAAAIQA4/SH/1gAAAJQBAAALAAAAAAAAAAAAAAAAAC8BAABfcmVscy8ucmVsc1BL&#10;AQItABQABgAIAAAAIQDZOVLylQIAAIQFAAAOAAAAAAAAAAAAAAAAAC4CAABkcnMvZTJvRG9jLnht&#10;bFBLAQItABQABgAIAAAAIQAuIUt/3QAAAAgBAAAPAAAAAAAAAAAAAAAAAO8EAABkcnMvZG93bnJl&#10;di54bWxQSwUGAAAAAAQABADzAAAA+QUAAAAA&#10;" filled="f" strokecolor="black [3213]" strokeweight="1pt"/>
            </w:pict>
          </mc:Fallback>
        </mc:AlternateContent>
      </w:r>
    </w:p>
    <w:p w14:paraId="31FC0170" w14:textId="7CEC7BC3" w:rsidR="00FB0FB4" w:rsidRPr="00FB0FB4" w:rsidRDefault="00FB0FB4" w:rsidP="00FB0FB4">
      <w:pPr>
        <w:pStyle w:val="B1"/>
        <w:rPr>
          <w:i/>
          <w:lang w:val="en-US"/>
        </w:rPr>
      </w:pPr>
      <w:r w:rsidRPr="00FB0FB4">
        <w:rPr>
          <w:i/>
          <w:lang w:val="en-US"/>
        </w:rPr>
        <w:t>-</w:t>
      </w:r>
      <w:r w:rsidRPr="00FB0FB4">
        <w:rPr>
          <w:i/>
          <w:lang w:val="en-US"/>
        </w:rPr>
        <w:tab/>
        <w:t>NR should support timing (UL-TDOA) based UL-only positioning techniques in FR1 and FR2.</w:t>
      </w:r>
    </w:p>
    <w:p w14:paraId="5D12DF2A" w14:textId="11C271EF" w:rsidR="00FB0FB4" w:rsidRPr="004F2E74" w:rsidRDefault="00FB0FB4" w:rsidP="004F2E74">
      <w:pPr>
        <w:pStyle w:val="B2"/>
        <w:rPr>
          <w:i/>
          <w:lang w:val="en-US"/>
        </w:rPr>
      </w:pPr>
      <w:r w:rsidRPr="00FB0FB4">
        <w:rPr>
          <w:i/>
          <w:lang w:val="en-US"/>
        </w:rPr>
        <w:t>-</w:t>
      </w:r>
      <w:r w:rsidRPr="00FB0FB4">
        <w:rPr>
          <w:i/>
          <w:lang w:val="en-US"/>
        </w:rPr>
        <w:tab/>
        <w:t>UL-TDOA with two or more neighboring gNBs/TRPs for NR UL positioning should be supported.</w:t>
      </w:r>
    </w:p>
    <w:p w14:paraId="653D8A14" w14:textId="40D10FE9" w:rsidR="00720DC4" w:rsidRPr="0062751C" w:rsidRDefault="00720DC4" w:rsidP="0027172F">
      <w:pPr>
        <w:spacing w:before="120" w:after="0" w:line="280" w:lineRule="atLeast"/>
        <w:contextualSpacing/>
      </w:pPr>
      <w:r w:rsidRPr="0062751C">
        <w:t>It has been also agreed in [1] that</w:t>
      </w:r>
      <w:r w:rsidR="0062751C">
        <w:t>:</w:t>
      </w:r>
      <w:r w:rsidRPr="0062751C">
        <w:t xml:space="preserve"> </w:t>
      </w:r>
    </w:p>
    <w:p w14:paraId="3536D886" w14:textId="66F4F3C5" w:rsidR="0062751C" w:rsidRDefault="0062751C" w:rsidP="00F46A37">
      <w:pPr>
        <w:rPr>
          <w:i/>
          <w:u w:val="single"/>
          <w:lang w:val="en-US" w:eastAsia="ko-KR"/>
        </w:rPr>
      </w:pPr>
      <w:r>
        <w:rPr>
          <w:noProof/>
        </w:rPr>
        <mc:AlternateContent>
          <mc:Choice Requires="wps">
            <w:drawing>
              <wp:anchor distT="0" distB="0" distL="114300" distR="114300" simplePos="0" relativeHeight="251658241" behindDoc="0" locked="0" layoutInCell="1" allowOverlap="1" wp14:anchorId="0B6A08C7" wp14:editId="5E38ADE6">
                <wp:simplePos x="0" y="0"/>
                <wp:positionH relativeFrom="margin">
                  <wp:align>left</wp:align>
                </wp:positionH>
                <wp:positionV relativeFrom="paragraph">
                  <wp:posOffset>163196</wp:posOffset>
                </wp:positionV>
                <wp:extent cx="6153150" cy="1877500"/>
                <wp:effectExtent l="0" t="0" r="19050" b="27940"/>
                <wp:wrapNone/>
                <wp:docPr id="1" name="Rectangle 1"/>
                <wp:cNvGraphicFramePr/>
                <a:graphic xmlns:a="http://schemas.openxmlformats.org/drawingml/2006/main">
                  <a:graphicData uri="http://schemas.microsoft.com/office/word/2010/wordprocessingShape">
                    <wps:wsp>
                      <wps:cNvSpPr/>
                      <wps:spPr>
                        <a:xfrm>
                          <a:off x="0" y="0"/>
                          <a:ext cx="6153150" cy="187750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0BA069" id="Rectangle 1" o:spid="_x0000_s1026" style="position:absolute;margin-left:0;margin-top:12.85pt;width:484.5pt;height:147.8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5J5cQIAAN0EAAAOAAAAZHJzL2Uyb0RvYy54bWysVE1PGzEQvVfqf7B8L5tNCaERGxSBqCoh&#10;QEDF2XjtrCV/1XaySX99n70LpLSnqjk4M57xfLx5s2fnO6PJVoSonG1ofTShRFjuWmXXDf3+ePXp&#10;lJKYmG2ZdlY0dC8iPV9+/HDW+4WYus7pVgSCIDYuet/QLiW/qKrIO2FYPHJeWBilC4YlqGFdtYH1&#10;iG50NZ1MTqrehdYHx0WMuL0cjHRZ4kspeLqVMopEdENRWypnKOdzPqvlGVusA/Od4mMZ7B+qMExZ&#10;JH0NdckSI5ug/ghlFA8uOpmOuDOVk1JxUXpAN/XkXTcPHfOi9AJwon+FKf6/sPxmexeIajE7Siwz&#10;GNE9QGN2rQWpMzy9jwt4Pfi7MGoRYu51J4PJ/+iC7Aqk+1dIxS4RjsuTeva5ngF5Dlt9Op/PJgX0&#10;6u25DzF9Fc6QLDQ0IH2Bkm2vY0JKuL645GzWXSmty9y0JT2iTueISTgDfaRmCaLxaCjaNSVMr8FL&#10;nkIJGZ1WbX6eA8V9vNCBbBmoAUa1rn9E1ZRoFhMMaKX8MgYo4benuZ5LFrvhcTENTDIqgc5amYae&#10;Hr7WNmcUhZBjVxnXAcksPbt2j0EENzA0en6lkOQatdyxAEqiQ6xZusUhtUPbbpQo6Vz4+bf77A+m&#10;wEpJD4oDkh8bFgRa/GbBoS/18XHeiaIcz+ZTKOHQ8nxosRtz4QAVeILqipj9k34RZXDmCdu4yllh&#10;YpYj9wD+qFykYfWwz1ysVsUNe+BZurYPnufgGacM7+PuiQU/ciJhMDfuZR3Y4h01Bt+BHKtNclIV&#10;3rzhiglmBTtUZjnue17SQ714vX2Vlr8AAAD//wMAUEsDBBQABgAIAAAAIQBbwYBz3QAAAAcBAAAP&#10;AAAAZHJzL2Rvd25yZXYueG1sTI/NTsMwEITvSLyDtUjcqN0UCg1xqgqpJ7j0R5W4OfGSRNjrKHbT&#10;8PYsJ3rcmdHMt8V68k6MOMQukIb5TIFAqoPtqNFwPGwfXkDEZMgaFwg1/GCEdXl7U5jchgvtcNyn&#10;RnAJxdxoaFPqcylj3aI3cRZ6JPa+wuBN4nNopB3Mhcu9k5lSS+lNR7zQmh7fWqy/92evYacOp3f/&#10;sVCflTqe4ta7atw4re/vps0riIRT+g/DHz6jQ8lMVTiTjcJp4EeShuzpGQS7q+WKhUrDIps/giwL&#10;ec1f/gIAAP//AwBQSwECLQAUAAYACAAAACEAtoM4kv4AAADhAQAAEwAAAAAAAAAAAAAAAAAAAAAA&#10;W0NvbnRlbnRfVHlwZXNdLnhtbFBLAQItABQABgAIAAAAIQA4/SH/1gAAAJQBAAALAAAAAAAAAAAA&#10;AAAAAC8BAABfcmVscy8ucmVsc1BLAQItABQABgAIAAAAIQDJ35J5cQIAAN0EAAAOAAAAAAAAAAAA&#10;AAAAAC4CAABkcnMvZTJvRG9jLnhtbFBLAQItABQABgAIAAAAIQBbwYBz3QAAAAcBAAAPAAAAAAAA&#10;AAAAAAAAAMsEAABkcnMvZG93bnJldi54bWxQSwUGAAAAAAQABADzAAAA1QUAAAAA&#10;" filled="f" strokecolor="windowText" strokeweight="1pt">
                <w10:wrap anchorx="margin"/>
              </v:rect>
            </w:pict>
          </mc:Fallback>
        </mc:AlternateContent>
      </w:r>
    </w:p>
    <w:p w14:paraId="60DC1123" w14:textId="2CEEF9E1" w:rsidR="00F46A37" w:rsidRPr="0062751C" w:rsidRDefault="00F46A37" w:rsidP="0062751C">
      <w:pPr>
        <w:ind w:firstLine="567"/>
        <w:rPr>
          <w:i/>
          <w:lang w:val="en-US" w:eastAsia="x-none"/>
        </w:rPr>
      </w:pPr>
      <w:r w:rsidRPr="0062751C">
        <w:rPr>
          <w:b/>
          <w:i/>
          <w:u w:val="single"/>
          <w:lang w:val="en-US" w:eastAsia="x-none"/>
        </w:rPr>
        <w:t>NR UL Reference Signals for Positioning</w:t>
      </w:r>
    </w:p>
    <w:p w14:paraId="758A5F07" w14:textId="032ED11C" w:rsidR="00F46A37" w:rsidRPr="0062751C" w:rsidRDefault="00F46A37" w:rsidP="0062751C">
      <w:pPr>
        <w:ind w:left="567"/>
        <w:rPr>
          <w:i/>
          <w:lang w:val="en-US" w:eastAsia="x-none"/>
        </w:rPr>
      </w:pPr>
      <w:r w:rsidRPr="0062751C">
        <w:rPr>
          <w:i/>
          <w:lang w:val="en-US" w:eastAsia="x-none"/>
        </w:rPr>
        <w:t xml:space="preserve">The following candidate reference signals were identified for UL positioning evaluation and are to left for </w:t>
      </w:r>
      <w:r w:rsidR="0062751C">
        <w:rPr>
          <w:i/>
          <w:lang w:val="en-US" w:eastAsia="x-none"/>
        </w:rPr>
        <w:t>f</w:t>
      </w:r>
      <w:r w:rsidRPr="0062751C">
        <w:rPr>
          <w:i/>
          <w:lang w:val="en-US" w:eastAsia="x-none"/>
        </w:rPr>
        <w:t>uture specification work</w:t>
      </w:r>
    </w:p>
    <w:p w14:paraId="586C7E49" w14:textId="77777777" w:rsidR="00F46A37" w:rsidRPr="0062751C" w:rsidRDefault="00F46A37" w:rsidP="0062751C">
      <w:pPr>
        <w:pStyle w:val="B1"/>
        <w:ind w:hanging="1"/>
        <w:rPr>
          <w:i/>
          <w:lang w:val="en-US"/>
        </w:rPr>
      </w:pPr>
      <w:r w:rsidRPr="0062751C">
        <w:rPr>
          <w:i/>
          <w:lang w:val="en-US"/>
        </w:rPr>
        <w:t>-</w:t>
      </w:r>
      <w:r w:rsidRPr="0062751C">
        <w:rPr>
          <w:i/>
          <w:lang w:val="en-US"/>
        </w:rPr>
        <w:tab/>
        <w:t>NR PRACH</w:t>
      </w:r>
    </w:p>
    <w:p w14:paraId="5535A257" w14:textId="77777777" w:rsidR="00F46A37" w:rsidRPr="0062751C" w:rsidRDefault="00F46A37" w:rsidP="0062751C">
      <w:pPr>
        <w:pStyle w:val="B1"/>
        <w:ind w:hanging="1"/>
        <w:rPr>
          <w:i/>
          <w:lang w:val="en-US"/>
        </w:rPr>
      </w:pPr>
      <w:r w:rsidRPr="0062751C">
        <w:rPr>
          <w:i/>
          <w:lang w:val="en-US"/>
        </w:rPr>
        <w:t>-</w:t>
      </w:r>
      <w:r w:rsidRPr="0062751C">
        <w:rPr>
          <w:i/>
          <w:lang w:val="en-US"/>
        </w:rPr>
        <w:tab/>
        <w:t>NR SRS</w:t>
      </w:r>
    </w:p>
    <w:p w14:paraId="05A1CC0F" w14:textId="77777777" w:rsidR="00F46A37" w:rsidRPr="0062751C" w:rsidRDefault="00F46A37" w:rsidP="0062751C">
      <w:pPr>
        <w:pStyle w:val="B1"/>
        <w:ind w:hanging="1"/>
        <w:rPr>
          <w:i/>
          <w:lang w:val="en-US"/>
        </w:rPr>
      </w:pPr>
      <w:r w:rsidRPr="0062751C">
        <w:rPr>
          <w:i/>
          <w:lang w:val="en-US"/>
        </w:rPr>
        <w:t>-</w:t>
      </w:r>
      <w:r w:rsidRPr="0062751C">
        <w:rPr>
          <w:i/>
          <w:lang w:val="en-US"/>
        </w:rPr>
        <w:tab/>
        <w:t>NR UL DMRS</w:t>
      </w:r>
    </w:p>
    <w:p w14:paraId="2B1E16DE" w14:textId="77777777" w:rsidR="00F46A37" w:rsidRPr="0062751C" w:rsidRDefault="00F46A37" w:rsidP="0062751C">
      <w:pPr>
        <w:pStyle w:val="B1"/>
        <w:ind w:hanging="1"/>
        <w:rPr>
          <w:i/>
          <w:lang w:val="en-US"/>
        </w:rPr>
      </w:pPr>
      <w:r w:rsidRPr="0062751C">
        <w:rPr>
          <w:i/>
          <w:lang w:val="en-US"/>
        </w:rPr>
        <w:t>-</w:t>
      </w:r>
      <w:r w:rsidRPr="0062751C">
        <w:rPr>
          <w:i/>
          <w:lang w:val="en-US"/>
        </w:rPr>
        <w:tab/>
        <w:t>NR UL PTRS</w:t>
      </w:r>
    </w:p>
    <w:p w14:paraId="3C601E10" w14:textId="77777777" w:rsidR="00F46A37" w:rsidRPr="0062751C" w:rsidRDefault="00F46A37" w:rsidP="0062751C">
      <w:pPr>
        <w:pStyle w:val="B1"/>
        <w:ind w:hanging="1"/>
        <w:rPr>
          <w:i/>
          <w:lang w:val="en-US"/>
        </w:rPr>
      </w:pPr>
      <w:r w:rsidRPr="0062751C">
        <w:rPr>
          <w:i/>
          <w:lang w:val="en-US"/>
        </w:rPr>
        <w:t>-</w:t>
      </w:r>
      <w:r w:rsidRPr="0062751C">
        <w:rPr>
          <w:i/>
          <w:lang w:val="en-US"/>
        </w:rPr>
        <w:tab/>
        <w:t>New UL positioning reference signals (UL PRS)</w:t>
      </w:r>
    </w:p>
    <w:p w14:paraId="406FD15F" w14:textId="7E39FD96" w:rsidR="004F2E74" w:rsidRPr="004F2E74" w:rsidRDefault="0062751C" w:rsidP="00F46A37">
      <w:pPr>
        <w:pStyle w:val="3GPPAgreements"/>
        <w:numPr>
          <w:ilvl w:val="0"/>
          <w:numId w:val="0"/>
        </w:numPr>
        <w:rPr>
          <w:rFonts w:ascii="Arial" w:eastAsia="Times New Roman" w:hAnsi="Arial" w:cs="Times New Roman"/>
          <w:sz w:val="20"/>
          <w:szCs w:val="20"/>
          <w:lang w:val="en-GB"/>
        </w:rPr>
      </w:pPr>
      <w:r w:rsidRPr="004F2E74">
        <w:rPr>
          <w:rFonts w:ascii="Arial" w:eastAsia="Times New Roman" w:hAnsi="Arial" w:cs="Times New Roman"/>
          <w:sz w:val="20"/>
          <w:szCs w:val="20"/>
          <w:lang w:val="en-GB"/>
        </w:rPr>
        <w:t xml:space="preserve">and the gNB measurements for NR positioning </w:t>
      </w:r>
      <w:r w:rsidR="00910BD5" w:rsidRPr="004F2E74">
        <w:rPr>
          <w:rFonts w:ascii="Arial" w:eastAsia="Times New Roman" w:hAnsi="Arial" w:cs="Times New Roman"/>
          <w:sz w:val="20"/>
          <w:szCs w:val="20"/>
          <w:lang w:val="en-GB"/>
        </w:rPr>
        <w:t>are agreed to be:</w:t>
      </w:r>
    </w:p>
    <w:p w14:paraId="529CAE64" w14:textId="2D9A9ED7" w:rsidR="00F46A37" w:rsidRPr="00C74F90" w:rsidRDefault="004F2E74" w:rsidP="004F2E74">
      <w:pPr>
        <w:pStyle w:val="3GPPAgreements"/>
        <w:numPr>
          <w:ilvl w:val="0"/>
          <w:numId w:val="0"/>
        </w:numPr>
        <w:ind w:firstLine="567"/>
        <w:rPr>
          <w:rFonts w:ascii="Times" w:hAnsi="Times" w:cs="Times"/>
          <w:b/>
          <w:i/>
          <w:u w:val="single"/>
        </w:rPr>
      </w:pPr>
      <w:r w:rsidRPr="00C74F90">
        <w:rPr>
          <w:i/>
          <w:noProof/>
        </w:rPr>
        <mc:AlternateContent>
          <mc:Choice Requires="wps">
            <w:drawing>
              <wp:anchor distT="0" distB="0" distL="114300" distR="114300" simplePos="0" relativeHeight="251658242" behindDoc="0" locked="0" layoutInCell="1" allowOverlap="1" wp14:anchorId="443ABD51" wp14:editId="1FCC5DDF">
                <wp:simplePos x="0" y="0"/>
                <wp:positionH relativeFrom="margin">
                  <wp:align>left</wp:align>
                </wp:positionH>
                <wp:positionV relativeFrom="paragraph">
                  <wp:posOffset>40689</wp:posOffset>
                </wp:positionV>
                <wp:extent cx="6153150" cy="1498210"/>
                <wp:effectExtent l="0" t="0" r="19050" b="26035"/>
                <wp:wrapNone/>
                <wp:docPr id="3" name="Rectangle 3"/>
                <wp:cNvGraphicFramePr/>
                <a:graphic xmlns:a="http://schemas.openxmlformats.org/drawingml/2006/main">
                  <a:graphicData uri="http://schemas.microsoft.com/office/word/2010/wordprocessingShape">
                    <wps:wsp>
                      <wps:cNvSpPr/>
                      <wps:spPr>
                        <a:xfrm>
                          <a:off x="0" y="0"/>
                          <a:ext cx="6153150" cy="149821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F32B9" id="Rectangle 3" o:spid="_x0000_s1026" style="position:absolute;margin-left:0;margin-top:3.2pt;width:484.5pt;height:117.9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ALcgIAAN0EAAAOAAAAZHJzL2Uyb0RvYy54bWysVNtOGzEQfa/Uf7D8XjYbwi1igyIQVSUE&#10;CKh4Nl47a8m32k426df32LtASvtUNQ/OjGc8lzNn9vxiazTZiBCVsw2tDyaUCMtdq+yqod+frr+c&#10;UhITsy3TzoqG7kSkF4vPn857PxdT1zndikAQxMZ57xvapeTnVRV5JwyLB84LC6N0wbAENayqNrAe&#10;0Y2uppPJcdW70PrguIgRt1eDkS5KfCkFT3dSRpGIbihqS+UM5XzJZ7U4Z/NVYL5TfCyD/UMVhimL&#10;pG+hrlhiZB3UH6GM4sFFJ9MBd6ZyUiouSg/opp586OaxY16UXgBO9G8wxf8Xlt9u7gNRbUMPKbHM&#10;YEQPAI3ZlRbkMMPT+ziH16O/D6MWIeZetzKY/I8uyLZAunuDVGwT4bg8ro8O6yMgz2GrZ2en07qA&#10;Xr0/9yGmr8IZkoWGBqQvULLNTUxICddXl5zNumuldZmbtqRH1OnJJCdgoI/ULEE0Hg1Fu6KE6RV4&#10;yVMoIaPTqs3Pc6C4i5c6kA0DNcCo1vVPqJoSzWKCAa2UX8YAJfz2NNdzxWI3PC6mgUlGJdBZK9PQ&#10;0/3X2uaMohBy7CrjOiCZpRfX7jCI4AaGRs+vFZLcoJZ7FkBJdIg1S3c4pHZo240SJZ0LP/92n/3B&#10;FFgp6UFxQPJjzYJAi98sOHRWz2Z5J4oyOzqZQgn7lpd9i12bSweoaiy050XM/km/ijI484xtXOas&#10;MDHLkXsAf1Qu07B62Gculsvihj3wLN3YR89z8IxThvdp+8yCHzmRMJhb97oObP6BGoPvQI7lOjmp&#10;Cm/eccUEs4IdKrMc9z0v6b5evN6/SotfAAAA//8DAFBLAwQUAAYACAAAACEA5d1mftsAAAAGAQAA&#10;DwAAAGRycy9kb3ducmV2LnhtbEyPzU7DMBCE70i8g7VI3KhNWkVtiFNVSD3BpT+qxM2JlyTCXkex&#10;m4a3ZznBcTSjmW/K7eydmHCMfSANzwsFAqkJtqdWw/m0f1qDiMmQNS4QavjGCNvq/q40hQ03OuB0&#10;TK3gEoqF0dClNBRSxqZDb+IiDEjsfYbRm8RybKUdzY3LvZOZUrn0pide6MyArx02X8er13BQp8ub&#10;f1+qj1qdL3HvXT3tnNaPD/PuBUTCOf2F4Ref0aFipjpcyUbhNPCRpCFfgWBzk29Y1xqyVbYEWZXy&#10;P371AwAA//8DAFBLAQItABQABgAIAAAAIQC2gziS/gAAAOEBAAATAAAAAAAAAAAAAAAAAAAAAABb&#10;Q29udGVudF9UeXBlc10ueG1sUEsBAi0AFAAGAAgAAAAhADj9If/WAAAAlAEAAAsAAAAAAAAAAAAA&#10;AAAALwEAAF9yZWxzLy5yZWxzUEsBAi0AFAAGAAgAAAAhAMfk0AtyAgAA3QQAAA4AAAAAAAAAAAAA&#10;AAAALgIAAGRycy9lMm9Eb2MueG1sUEsBAi0AFAAGAAgAAAAhAOXdZn7bAAAABgEAAA8AAAAAAAAA&#10;AAAAAAAAzAQAAGRycy9kb3ducmV2LnhtbFBLBQYAAAAABAAEAPMAAADUBQAAAAA=&#10;" filled="f" strokecolor="windowText" strokeweight="1pt">
                <w10:wrap anchorx="margin"/>
              </v:rect>
            </w:pict>
          </mc:Fallback>
        </mc:AlternateContent>
      </w:r>
      <w:r w:rsidR="00F46A37" w:rsidRPr="00C74F90">
        <w:rPr>
          <w:rFonts w:ascii="Times" w:hAnsi="Times" w:cs="Times"/>
          <w:b/>
          <w:i/>
          <w:u w:val="single"/>
        </w:rPr>
        <w:t>gNB Measurements for NR Positioning</w:t>
      </w:r>
    </w:p>
    <w:p w14:paraId="5FDB0100" w14:textId="1EF63AB1" w:rsidR="00F46A37" w:rsidRPr="00C74F90" w:rsidRDefault="00F46A37" w:rsidP="004F2E74">
      <w:pPr>
        <w:ind w:firstLine="567"/>
        <w:rPr>
          <w:rFonts w:cs="Times"/>
          <w:i/>
          <w:lang w:val="en-US" w:eastAsia="x-none"/>
        </w:rPr>
      </w:pPr>
      <w:r w:rsidRPr="00C74F90">
        <w:rPr>
          <w:rFonts w:cs="Times"/>
          <w:i/>
          <w:lang w:val="en-US" w:eastAsia="x-none"/>
        </w:rPr>
        <w:t>The following measurements for NR UL PRS at serving and neighbor gNBs should be supported:</w:t>
      </w:r>
    </w:p>
    <w:p w14:paraId="6FC2528F" w14:textId="58FDB23E" w:rsidR="00F46A37" w:rsidRPr="00C74F90" w:rsidRDefault="00F46A37" w:rsidP="004F2E74">
      <w:pPr>
        <w:pStyle w:val="B1"/>
        <w:ind w:hanging="1"/>
        <w:rPr>
          <w:i/>
          <w:lang w:val="en-US"/>
        </w:rPr>
      </w:pPr>
      <w:r w:rsidRPr="00C74F90">
        <w:rPr>
          <w:i/>
          <w:lang w:val="en-US"/>
        </w:rPr>
        <w:t>-</w:t>
      </w:r>
      <w:r w:rsidRPr="00C74F90">
        <w:rPr>
          <w:i/>
          <w:lang w:val="en-US"/>
        </w:rPr>
        <w:tab/>
        <w:t>UL RTOA measurements</w:t>
      </w:r>
    </w:p>
    <w:p w14:paraId="0CE637EE" w14:textId="43154106" w:rsidR="00F46A37" w:rsidRPr="00C74F90" w:rsidRDefault="00F46A37" w:rsidP="004F2E74">
      <w:pPr>
        <w:pStyle w:val="B1"/>
        <w:ind w:hanging="1"/>
        <w:rPr>
          <w:i/>
          <w:lang w:val="en-US"/>
        </w:rPr>
      </w:pPr>
      <w:r w:rsidRPr="00C74F90">
        <w:rPr>
          <w:i/>
          <w:lang w:val="en-US"/>
        </w:rPr>
        <w:t>-</w:t>
      </w:r>
      <w:r w:rsidRPr="00C74F90">
        <w:rPr>
          <w:i/>
          <w:lang w:val="en-US"/>
        </w:rPr>
        <w:tab/>
        <w:t>UL Angle Of Arrival (AOA) measurements (including Azimuth and Zenith Angles)</w:t>
      </w:r>
    </w:p>
    <w:p w14:paraId="76FC623A" w14:textId="06B71DD9" w:rsidR="00F46A37" w:rsidRPr="00C74F90" w:rsidRDefault="00F46A37" w:rsidP="004F2E74">
      <w:pPr>
        <w:pStyle w:val="B1"/>
        <w:ind w:hanging="1"/>
        <w:rPr>
          <w:i/>
          <w:lang w:val="en-US"/>
        </w:rPr>
      </w:pPr>
      <w:r w:rsidRPr="00C74F90">
        <w:rPr>
          <w:i/>
          <w:lang w:val="en-US"/>
        </w:rPr>
        <w:t>-</w:t>
      </w:r>
      <w:r w:rsidRPr="00C74F90">
        <w:rPr>
          <w:i/>
          <w:lang w:val="en-US"/>
        </w:rPr>
        <w:tab/>
        <w:t>UL RSRP (reference signal received power) measurements</w:t>
      </w:r>
    </w:p>
    <w:p w14:paraId="4B5130D3" w14:textId="5FAD880F" w:rsidR="00F46A37" w:rsidRPr="00C74F90" w:rsidRDefault="00F46A37" w:rsidP="004F2E74">
      <w:pPr>
        <w:pStyle w:val="B1"/>
        <w:ind w:hanging="1"/>
        <w:rPr>
          <w:i/>
          <w:lang w:val="en-US"/>
        </w:rPr>
      </w:pPr>
      <w:r w:rsidRPr="00C74F90">
        <w:rPr>
          <w:i/>
          <w:lang w:val="en-US"/>
        </w:rPr>
        <w:t>-</w:t>
      </w:r>
      <w:r w:rsidRPr="00C74F90">
        <w:rPr>
          <w:i/>
          <w:lang w:val="en-US"/>
        </w:rPr>
        <w:tab/>
        <w:t>gNB RX-TX time difference measurements</w:t>
      </w:r>
    </w:p>
    <w:p w14:paraId="768B8D28" w14:textId="6B999CD6" w:rsidR="00F46A37" w:rsidRDefault="00F46A37" w:rsidP="005B433F">
      <w:pPr>
        <w:pStyle w:val="B1"/>
        <w:jc w:val="both"/>
        <w:rPr>
          <w:lang w:val="en-US"/>
        </w:rPr>
      </w:pPr>
    </w:p>
    <w:p w14:paraId="7F22B4BA" w14:textId="0A7CEFFC" w:rsidR="004F2E74" w:rsidRDefault="00FB7E40" w:rsidP="005B433F">
      <w:pPr>
        <w:pStyle w:val="B1"/>
        <w:ind w:left="0" w:firstLine="0"/>
        <w:jc w:val="both"/>
        <w:rPr>
          <w:lang w:val="en-US"/>
        </w:rPr>
      </w:pPr>
      <w:r>
        <w:rPr>
          <w:lang w:val="en-US"/>
        </w:rPr>
        <w:t xml:space="preserve">In this contribution, </w:t>
      </w:r>
      <w:r w:rsidR="008E7AD1">
        <w:rPr>
          <w:lang w:val="en-US"/>
        </w:rPr>
        <w:t xml:space="preserve">our focus is </w:t>
      </w:r>
      <w:r w:rsidR="00431B34">
        <w:rPr>
          <w:lang w:val="en-US"/>
        </w:rPr>
        <w:t xml:space="preserve">UL-TDOA, therefore among the above gNB measurements only the first one which is UL RTOA measurement </w:t>
      </w:r>
      <w:r w:rsidR="00DE313E">
        <w:rPr>
          <w:lang w:val="en-US"/>
        </w:rPr>
        <w:t>would be discussed. Also</w:t>
      </w:r>
      <w:r w:rsidR="005B433F">
        <w:rPr>
          <w:lang w:val="en-US"/>
        </w:rPr>
        <w:t>,</w:t>
      </w:r>
      <w:r w:rsidR="00DE313E">
        <w:rPr>
          <w:lang w:val="en-US"/>
        </w:rPr>
        <w:t xml:space="preserve"> </w:t>
      </w:r>
      <w:r>
        <w:rPr>
          <w:lang w:val="en-US"/>
        </w:rPr>
        <w:t>we try to define a functional interface and signaling procedure to support UL-TDOA as an uplink only NR RAT-dependent positioning covering one RAN2 centric objective of the WI [2]:</w:t>
      </w:r>
    </w:p>
    <w:p w14:paraId="000CB9F7" w14:textId="0346E983" w:rsidR="00FB7E40" w:rsidRDefault="00FB7E40" w:rsidP="00FB7E40">
      <w:pPr>
        <w:pStyle w:val="B1"/>
        <w:ind w:left="0" w:firstLine="0"/>
        <w:rPr>
          <w:lang w:val="en-US"/>
        </w:rPr>
      </w:pPr>
    </w:p>
    <w:p w14:paraId="52790395" w14:textId="77777777" w:rsidR="00FB7E40" w:rsidRDefault="00FB7E40" w:rsidP="00FB7E40">
      <w:pPr>
        <w:pStyle w:val="B1"/>
        <w:ind w:left="0" w:firstLine="0"/>
        <w:rPr>
          <w:lang w:val="en-US"/>
        </w:rPr>
      </w:pPr>
    </w:p>
    <w:p w14:paraId="45C92278" w14:textId="77777777" w:rsidR="00FB7E40" w:rsidRPr="00C74F90" w:rsidRDefault="00FB7E40" w:rsidP="00FB7E40">
      <w:pPr>
        <w:spacing w:before="120" w:after="0" w:line="280" w:lineRule="atLeast"/>
        <w:contextualSpacing/>
        <w:rPr>
          <w:rFonts w:cs="Arial"/>
          <w:b/>
          <w:i/>
          <w:u w:val="single"/>
          <w:lang w:val="sv-SE" w:eastAsia="x-none"/>
        </w:rPr>
      </w:pPr>
      <w:r w:rsidRPr="00C74F90">
        <w:rPr>
          <w:rFonts w:cs="Arial"/>
          <w:b/>
          <w:i/>
          <w:u w:val="single"/>
          <w:lang w:val="en-US" w:eastAsia="ko-KR"/>
        </w:rPr>
        <w:t>RAN2 centric objectives</w:t>
      </w:r>
    </w:p>
    <w:p w14:paraId="503C1FD9" w14:textId="77777777" w:rsidR="00FB7E40" w:rsidRPr="00C74F90" w:rsidRDefault="00FB7E40" w:rsidP="00FB7E40">
      <w:pPr>
        <w:pStyle w:val="3GPPAgreements"/>
        <w:ind w:left="284" w:hanging="284"/>
        <w:rPr>
          <w:rFonts w:ascii="Arial" w:hAnsi="Arial" w:cs="Arial"/>
          <w:i/>
          <w:sz w:val="20"/>
        </w:rPr>
      </w:pPr>
      <w:r w:rsidRPr="00C74F90">
        <w:rPr>
          <w:rFonts w:ascii="Arial" w:hAnsi="Arial" w:cs="Arial"/>
          <w:i/>
          <w:sz w:val="20"/>
        </w:rPr>
        <w:t>Define functional interfaces, signaling and procedures including UE reporting, to support NR RAT-dependent positioning for the NR positioning techniques listed in RAN1 objectives [RAN2]</w:t>
      </w:r>
    </w:p>
    <w:p w14:paraId="21DDB28A" w14:textId="6F3A0CA2" w:rsidR="00DC18D0" w:rsidRDefault="00FB7E40" w:rsidP="00DC18D0">
      <w:pPr>
        <w:pStyle w:val="3GPPAgreements"/>
        <w:ind w:left="284" w:hanging="284"/>
        <w:rPr>
          <w:rFonts w:ascii="Arial" w:hAnsi="Arial" w:cs="Arial"/>
          <w:i/>
          <w:sz w:val="20"/>
        </w:rPr>
      </w:pPr>
      <w:r w:rsidRPr="00C74F90">
        <w:rPr>
          <w:rFonts w:ascii="Arial" w:hAnsi="Arial" w:cs="Arial"/>
          <w:i/>
          <w:sz w:val="20"/>
        </w:rPr>
        <w:t>Define extensions of LPP protocol for NR RAT-dependent positioning [RAN2]</w:t>
      </w:r>
    </w:p>
    <w:p w14:paraId="3B8F10F2" w14:textId="7ABD107C" w:rsidR="00DC18D0" w:rsidRPr="00DC18D0" w:rsidRDefault="00DC18D0" w:rsidP="00DC18D0">
      <w:pPr>
        <w:pStyle w:val="3GPPAgreements"/>
        <w:numPr>
          <w:ilvl w:val="0"/>
          <w:numId w:val="0"/>
        </w:numPr>
        <w:rPr>
          <w:rFonts w:ascii="Arial" w:hAnsi="Arial" w:cs="Arial"/>
          <w:sz w:val="20"/>
        </w:rPr>
      </w:pPr>
      <w:r w:rsidRPr="00DC18D0">
        <w:rPr>
          <w:rFonts w:ascii="Arial" w:hAnsi="Arial" w:cs="Arial"/>
          <w:sz w:val="20"/>
        </w:rPr>
        <w:t xml:space="preserve">This contribution would not specify the exact uplink reference signal, and while the method can certainly support SRS, we still keep the wording as uplink reference signal as this would be a RAN1 decision. Moreover, the </w:t>
      </w:r>
      <w:r>
        <w:rPr>
          <w:rFonts w:ascii="Arial" w:hAnsi="Arial" w:cs="Arial"/>
          <w:sz w:val="20"/>
        </w:rPr>
        <w:t xml:space="preserve">exact configuration parameters for the uplink reference signal also </w:t>
      </w:r>
      <w:r w:rsidR="00805565">
        <w:rPr>
          <w:rFonts w:ascii="Arial" w:hAnsi="Arial" w:cs="Arial"/>
          <w:sz w:val="20"/>
        </w:rPr>
        <w:t>shall be decided by RAN1 and hence we keep that discussion also open to RAN1 decision.</w:t>
      </w:r>
    </w:p>
    <w:p w14:paraId="0F30A864" w14:textId="77777777" w:rsidR="004000E8" w:rsidRPr="00CE0424" w:rsidRDefault="004000E8" w:rsidP="00CE0424">
      <w:pPr>
        <w:pStyle w:val="Heading1"/>
      </w:pPr>
      <w:bookmarkStart w:id="1" w:name="_Ref178064866"/>
      <w:r w:rsidRPr="00CE0424">
        <w:t>Discussion</w:t>
      </w:r>
      <w:bookmarkEnd w:id="1"/>
    </w:p>
    <w:p w14:paraId="5B1C73FC" w14:textId="398FAC65" w:rsidR="00FB7E40" w:rsidRDefault="00B616A3" w:rsidP="0039440F">
      <w:pPr>
        <w:pStyle w:val="B1"/>
        <w:ind w:left="0" w:firstLine="0"/>
        <w:jc w:val="both"/>
        <w:rPr>
          <w:lang w:val="en-US"/>
        </w:rPr>
      </w:pPr>
      <w:r>
        <w:rPr>
          <w:lang w:val="en-US"/>
        </w:rPr>
        <w:t xml:space="preserve">In LTE, the UL RTOA measurements were done by Location Management Unit (LMU), which was defined </w:t>
      </w:r>
      <w:r w:rsidR="000D6401">
        <w:rPr>
          <w:lang w:val="en-US"/>
        </w:rPr>
        <w:t xml:space="preserve">as </w:t>
      </w:r>
      <w:r>
        <w:rPr>
          <w:lang w:val="en-US"/>
        </w:rPr>
        <w:t>a separate unit connected to the location server (i.e. E-SMLC) via SLm protocol. Historically considering LMUs as a separate unit from eNBs has been a challenge and sometimes a drawback for the UTDOA method. One example was the discussion in standardizing UTDOA for NB-IoT UEs in LTE</w:t>
      </w:r>
      <w:r w:rsidR="000D6401">
        <w:rPr>
          <w:lang w:val="en-US"/>
        </w:rPr>
        <w:t xml:space="preserve"> and considering that as an extra overhead to the network</w:t>
      </w:r>
      <w:r>
        <w:rPr>
          <w:lang w:val="en-US"/>
        </w:rPr>
        <w:t xml:space="preserve">. </w:t>
      </w:r>
    </w:p>
    <w:p w14:paraId="2A08EAE5" w14:textId="76B20E16" w:rsidR="000D6401" w:rsidRPr="000D6401" w:rsidRDefault="000D6401" w:rsidP="0039440F">
      <w:pPr>
        <w:pStyle w:val="NormalWeb"/>
        <w:spacing w:before="0" w:beforeAutospacing="0" w:after="0" w:afterAutospacing="0" w:line="240" w:lineRule="atLeast"/>
        <w:jc w:val="both"/>
        <w:rPr>
          <w:rFonts w:ascii="Arial" w:hAnsi="Arial"/>
          <w:sz w:val="20"/>
          <w:szCs w:val="20"/>
          <w:lang w:val="en-US" w:eastAsia="en-US"/>
        </w:rPr>
      </w:pPr>
      <w:r>
        <w:rPr>
          <w:rFonts w:ascii="Arial" w:hAnsi="Arial"/>
          <w:sz w:val="20"/>
          <w:szCs w:val="20"/>
          <w:lang w:val="en-US" w:eastAsia="en-US"/>
        </w:rPr>
        <w:t xml:space="preserve">One of the main differences between LTE and NR </w:t>
      </w:r>
      <w:r w:rsidR="0066652E">
        <w:rPr>
          <w:rFonts w:ascii="Arial" w:hAnsi="Arial"/>
          <w:sz w:val="20"/>
          <w:szCs w:val="20"/>
          <w:lang w:val="en-US" w:eastAsia="en-US"/>
        </w:rPr>
        <w:t>RAN architecture is</w:t>
      </w:r>
      <w:r w:rsidRPr="000D6401">
        <w:rPr>
          <w:rFonts w:ascii="Arial" w:hAnsi="Arial"/>
          <w:sz w:val="20"/>
          <w:szCs w:val="20"/>
          <w:lang w:val="en-US" w:eastAsia="en-US"/>
        </w:rPr>
        <w:t xml:space="preserve"> that the gNB internal structure is split into two parts called CU (Central Unit) and DU (Distributed Unit) and these two entities are connected by a new interface called F1</w:t>
      </w:r>
      <w:r w:rsidR="00571624">
        <w:rPr>
          <w:rFonts w:ascii="Arial" w:hAnsi="Arial"/>
          <w:sz w:val="20"/>
          <w:szCs w:val="20"/>
          <w:lang w:val="en-US" w:eastAsia="en-US"/>
        </w:rPr>
        <w:t>AP</w:t>
      </w:r>
      <w:r w:rsidRPr="000D6401">
        <w:rPr>
          <w:rFonts w:ascii="Arial" w:hAnsi="Arial"/>
          <w:sz w:val="20"/>
          <w:szCs w:val="20"/>
          <w:lang w:val="en-US" w:eastAsia="en-US"/>
        </w:rPr>
        <w:t xml:space="preserve"> </w:t>
      </w:r>
      <w:r w:rsidR="0066652E">
        <w:rPr>
          <w:rFonts w:ascii="Arial" w:hAnsi="Arial"/>
          <w:sz w:val="20"/>
          <w:szCs w:val="20"/>
          <w:lang w:val="en-US" w:eastAsia="en-US"/>
        </w:rPr>
        <w:t>[3]</w:t>
      </w:r>
      <w:r w:rsidRPr="000D6401">
        <w:rPr>
          <w:rFonts w:ascii="Arial" w:hAnsi="Arial"/>
          <w:sz w:val="20"/>
          <w:szCs w:val="20"/>
          <w:lang w:val="en-US" w:eastAsia="en-US"/>
        </w:rPr>
        <w:t xml:space="preserve">. </w:t>
      </w:r>
      <w:r w:rsidR="0039440F">
        <w:rPr>
          <w:rFonts w:ascii="Arial" w:hAnsi="Arial"/>
          <w:sz w:val="20"/>
          <w:szCs w:val="20"/>
          <w:lang w:val="en-US" w:eastAsia="en-US"/>
        </w:rPr>
        <w:t>As the positioning measurements including (UL-RTOA) is dependent to the physical location of the gNB, therefore it is reasonable to consider that these measurements are done in the gNB-DU.</w:t>
      </w:r>
      <w:r w:rsidR="00CA2523">
        <w:rPr>
          <w:rFonts w:ascii="Arial" w:hAnsi="Arial"/>
          <w:sz w:val="20"/>
          <w:szCs w:val="20"/>
          <w:lang w:val="en-US" w:eastAsia="en-US"/>
        </w:rPr>
        <w:t xml:space="preserve"> </w:t>
      </w:r>
      <w:r w:rsidR="00CA2523" w:rsidRPr="00CA2523">
        <w:rPr>
          <w:rFonts w:ascii="Arial" w:hAnsi="Arial"/>
          <w:sz w:val="20"/>
          <w:szCs w:val="20"/>
          <w:lang w:val="en-US" w:eastAsia="en-US"/>
        </w:rPr>
        <w:t>In RAN3</w:t>
      </w:r>
      <w:r w:rsidR="004C5F6C">
        <w:rPr>
          <w:rFonts w:ascii="Arial" w:hAnsi="Arial"/>
          <w:sz w:val="20"/>
          <w:szCs w:val="20"/>
          <w:lang w:val="en-US" w:eastAsia="en-US"/>
        </w:rPr>
        <w:t>,</w:t>
      </w:r>
      <w:r w:rsidR="00CA2523" w:rsidRPr="00CA2523">
        <w:rPr>
          <w:rFonts w:ascii="Arial" w:hAnsi="Arial"/>
          <w:sz w:val="20"/>
          <w:szCs w:val="20"/>
          <w:lang w:val="en-US" w:eastAsia="en-US"/>
        </w:rPr>
        <w:t xml:space="preserve"> </w:t>
      </w:r>
      <w:r w:rsidR="004C5F6C">
        <w:rPr>
          <w:rFonts w:ascii="Arial" w:hAnsi="Arial"/>
          <w:sz w:val="20"/>
          <w:szCs w:val="20"/>
          <w:lang w:val="en-US" w:eastAsia="en-US"/>
        </w:rPr>
        <w:t xml:space="preserve">a </w:t>
      </w:r>
      <w:r w:rsidR="00CA2523" w:rsidRPr="00CA2523">
        <w:rPr>
          <w:rFonts w:ascii="Arial" w:hAnsi="Arial"/>
          <w:sz w:val="20"/>
          <w:szCs w:val="20"/>
          <w:lang w:val="en-US" w:eastAsia="en-US"/>
        </w:rPr>
        <w:t xml:space="preserve">gNB-DU </w:t>
      </w:r>
      <w:r w:rsidR="004C5F6C">
        <w:rPr>
          <w:rFonts w:ascii="Arial" w:hAnsi="Arial"/>
          <w:sz w:val="20"/>
          <w:szCs w:val="20"/>
          <w:lang w:val="en-US" w:eastAsia="en-US"/>
        </w:rPr>
        <w:t xml:space="preserve">with only positioning functionality is not precluded. So even if a separate LMU exist, it would be connected to the gNB-CU via the F1 interface. </w:t>
      </w:r>
    </w:p>
    <w:p w14:paraId="3328295C" w14:textId="77777777" w:rsidR="000D6401" w:rsidRPr="000D6401" w:rsidRDefault="000D6401" w:rsidP="000D6401">
      <w:pPr>
        <w:pStyle w:val="NormalWeb"/>
        <w:spacing w:before="0" w:beforeAutospacing="0" w:after="0" w:afterAutospacing="0" w:line="240" w:lineRule="atLeast"/>
        <w:rPr>
          <w:color w:val="000000"/>
          <w:lang w:val="en-US"/>
        </w:rPr>
      </w:pPr>
      <w:r w:rsidRPr="000D6401">
        <w:rPr>
          <w:color w:val="000000"/>
          <w:lang w:val="en-US"/>
        </w:rPr>
        <w:t> </w:t>
      </w:r>
    </w:p>
    <w:p w14:paraId="16A75D1B" w14:textId="77777777" w:rsidR="0039440F" w:rsidRDefault="0039440F" w:rsidP="0039440F">
      <w:pPr>
        <w:pStyle w:val="Proposal"/>
      </w:pPr>
      <w:bookmarkStart w:id="2" w:name="_Toc477870474"/>
      <w:bookmarkStart w:id="3" w:name="_Toc477870646"/>
      <w:bookmarkStart w:id="4" w:name="_Toc477870655"/>
      <w:bookmarkStart w:id="5" w:name="_Toc478161470"/>
      <w:bookmarkStart w:id="6" w:name="_Toc481140529"/>
      <w:bookmarkStart w:id="7" w:name="_Toc484177501"/>
      <w:bookmarkStart w:id="8" w:name="_Toc485421898"/>
      <w:bookmarkStart w:id="9" w:name="_Toc490253348"/>
      <w:bookmarkStart w:id="10" w:name="_Toc498620470"/>
      <w:bookmarkStart w:id="11" w:name="_Hlk13053798"/>
      <w:r>
        <w:t>The NR uplink measurements including UL RTOA is done in gNB-DUs.</w:t>
      </w:r>
    </w:p>
    <w:p w14:paraId="5ACBE73B" w14:textId="246D93A4" w:rsidR="0039440F" w:rsidRDefault="008F0E6E" w:rsidP="00D67321">
      <w:pPr>
        <w:pStyle w:val="Proposal"/>
        <w:numPr>
          <w:ilvl w:val="0"/>
          <w:numId w:val="0"/>
        </w:numPr>
        <w:ind w:left="1418" w:hanging="1418"/>
      </w:pPr>
      <w:r>
        <w:t xml:space="preserve">Observation 1 </w:t>
      </w:r>
      <w:r w:rsidR="004D5C0F">
        <w:tab/>
      </w:r>
      <w:r w:rsidR="006F50CE">
        <w:t>RAN3 has agreed that LMU functionality can be part of the gNB-DU functionality, and that the F1 interface will be used between the CU and the LMU functionality.</w:t>
      </w:r>
    </w:p>
    <w:bookmarkEnd w:id="2"/>
    <w:bookmarkEnd w:id="3"/>
    <w:bookmarkEnd w:id="4"/>
    <w:bookmarkEnd w:id="5"/>
    <w:bookmarkEnd w:id="6"/>
    <w:bookmarkEnd w:id="7"/>
    <w:bookmarkEnd w:id="8"/>
    <w:bookmarkEnd w:id="9"/>
    <w:bookmarkEnd w:id="10"/>
    <w:p w14:paraId="77773CF5" w14:textId="3E074446" w:rsidR="00571624" w:rsidRDefault="00571624" w:rsidP="001C46A8">
      <w:pPr>
        <w:pStyle w:val="B1"/>
        <w:ind w:left="0" w:firstLine="0"/>
        <w:jc w:val="both"/>
      </w:pPr>
      <w:r>
        <w:t>According to UL-TDOA method, the UL RTOA measurements needs to be collected at the location server (i.e. LMF</w:t>
      </w:r>
      <w:r w:rsidRPr="006D5372">
        <w:t>)</w:t>
      </w:r>
      <w:r w:rsidR="009A24A3" w:rsidRPr="006D5372">
        <w:t xml:space="preserve">. With the assumption that the </w:t>
      </w:r>
      <w:r w:rsidR="008C30F5" w:rsidRPr="006D5372">
        <w:t>NRPPa protocol is between the LMF and the gNB-CU, we</w:t>
      </w:r>
      <w:r w:rsidR="008C30F5" w:rsidRPr="008C30F5">
        <w:t xml:space="preserve"> can consider that F1AP and NRPPa together shall transfer the UL RTOA measurements from gNB-DUs to the LMF for further postprocessing and multilateration techniques</w:t>
      </w:r>
      <w:r w:rsidR="008C30F5">
        <w:t xml:space="preserve"> to derive positioning estimation of the UE.</w:t>
      </w:r>
    </w:p>
    <w:p w14:paraId="1F0C203E" w14:textId="5BE4A511" w:rsidR="008C30F5" w:rsidRDefault="008C30F5" w:rsidP="008C30F5">
      <w:pPr>
        <w:pStyle w:val="Proposal"/>
      </w:pPr>
      <w:r>
        <w:t xml:space="preserve">The </w:t>
      </w:r>
      <w:r w:rsidR="001C04F7">
        <w:t>(</w:t>
      </w:r>
      <w:r>
        <w:t>F1AP + NRPPa</w:t>
      </w:r>
      <w:r w:rsidR="001C04F7">
        <w:t>)</w:t>
      </w:r>
      <w:r>
        <w:t xml:space="preserve"> transfer the UL RTOA </w:t>
      </w:r>
      <w:r w:rsidR="002C449D">
        <w:t xml:space="preserve">from gNB-DU </w:t>
      </w:r>
      <w:r>
        <w:t xml:space="preserve">to the LMF. </w:t>
      </w:r>
    </w:p>
    <w:p w14:paraId="03571946" w14:textId="27B94A14" w:rsidR="008C30F5" w:rsidRPr="00643293" w:rsidRDefault="00643293" w:rsidP="00643293">
      <w:pPr>
        <w:pStyle w:val="Proposal"/>
        <w:numPr>
          <w:ilvl w:val="0"/>
          <w:numId w:val="0"/>
        </w:numPr>
        <w:rPr>
          <w:b w:val="0"/>
          <w:bCs w:val="0"/>
          <w:lang w:eastAsia="en-US"/>
        </w:rPr>
      </w:pPr>
      <w:r w:rsidRPr="00643293">
        <w:rPr>
          <w:b w:val="0"/>
          <w:bCs w:val="0"/>
          <w:lang w:eastAsia="en-US"/>
        </w:rPr>
        <w:t xml:space="preserve">In order for the gNB-DUs to know what uplink signals to measure, the configuration of the uplink signal for a certain UE would be similarly transferred in the opposite direction from the LMF to the gNB-DU via NRPPa + F1AP. </w:t>
      </w:r>
    </w:p>
    <w:p w14:paraId="3C574691" w14:textId="0FA385FC" w:rsidR="002C449D" w:rsidRDefault="002C449D" w:rsidP="002C449D">
      <w:pPr>
        <w:pStyle w:val="Proposal"/>
      </w:pPr>
      <w:r>
        <w:t xml:space="preserve">The (NRPPa + F1AP) transfer the uplink signal configurations e.x. SRS from the LMF to </w:t>
      </w:r>
      <w:r w:rsidR="008C1889">
        <w:t xml:space="preserve">one or more </w:t>
      </w:r>
      <w:r>
        <w:t>gNB-DU</w:t>
      </w:r>
      <w:r w:rsidR="008C1889">
        <w:t>s which can receive the UE’s UL transmissions</w:t>
      </w:r>
      <w:r>
        <w:t xml:space="preserve">. </w:t>
      </w:r>
    </w:p>
    <w:p w14:paraId="793650FF" w14:textId="77777777" w:rsidR="00326218" w:rsidRDefault="00C74F90" w:rsidP="001C46A8">
      <w:pPr>
        <w:pStyle w:val="B1"/>
        <w:ind w:left="0" w:firstLine="0"/>
        <w:jc w:val="both"/>
        <w:rPr>
          <w:lang w:val="en-US"/>
        </w:rPr>
      </w:pPr>
      <w:r w:rsidRPr="00326218">
        <w:rPr>
          <w:lang w:val="en-US"/>
        </w:rPr>
        <w:t xml:space="preserve">In order to support UL-TDOA with two or more neighboring gNBs/TRPs, the </w:t>
      </w:r>
      <w:r w:rsidR="00326218" w:rsidRPr="00326218">
        <w:rPr>
          <w:lang w:val="en-US"/>
        </w:rPr>
        <w:t>UL reference signal</w:t>
      </w:r>
      <w:r w:rsidR="00326218">
        <w:rPr>
          <w:lang w:val="en-US"/>
        </w:rPr>
        <w:t xml:space="preserve"> configuration shall be transmitted to the specified UE. There are two units which can send the UE, this configuration information: </w:t>
      </w:r>
    </w:p>
    <w:p w14:paraId="3A240711" w14:textId="77777777" w:rsidR="00326218" w:rsidRPr="00326218" w:rsidRDefault="00326218" w:rsidP="00326218">
      <w:pPr>
        <w:pStyle w:val="B1"/>
        <w:numPr>
          <w:ilvl w:val="0"/>
          <w:numId w:val="22"/>
        </w:numPr>
        <w:jc w:val="both"/>
        <w:rPr>
          <w:i/>
          <w:lang w:val="en-US"/>
        </w:rPr>
      </w:pPr>
      <w:r>
        <w:rPr>
          <w:lang w:val="en-US"/>
        </w:rPr>
        <w:t xml:space="preserve">LMF </w:t>
      </w:r>
      <w:r w:rsidRPr="00326218">
        <w:rPr>
          <w:lang w:val="en-US"/>
        </w:rPr>
        <w:sym w:font="Wingdings" w:char="F0E0"/>
      </w:r>
      <w:r>
        <w:rPr>
          <w:lang w:val="en-US"/>
        </w:rPr>
        <w:t xml:space="preserve"> UE via LPP</w:t>
      </w:r>
    </w:p>
    <w:p w14:paraId="2ECF5B54" w14:textId="2419C427" w:rsidR="00042545" w:rsidRPr="00042545" w:rsidRDefault="00326218" w:rsidP="00042545">
      <w:pPr>
        <w:pStyle w:val="B1"/>
        <w:numPr>
          <w:ilvl w:val="0"/>
          <w:numId w:val="22"/>
        </w:numPr>
        <w:jc w:val="both"/>
        <w:rPr>
          <w:i/>
          <w:lang w:val="sv-SE"/>
        </w:rPr>
      </w:pPr>
      <w:r w:rsidRPr="00326218">
        <w:rPr>
          <w:lang w:val="sv-SE"/>
        </w:rPr>
        <w:t xml:space="preserve">gNB-CU </w:t>
      </w:r>
      <w:r w:rsidRPr="00326218">
        <w:rPr>
          <w:lang w:val="en-US"/>
        </w:rPr>
        <w:sym w:font="Wingdings" w:char="F0E0"/>
      </w:r>
      <w:r w:rsidRPr="00326218">
        <w:rPr>
          <w:lang w:val="sv-SE"/>
        </w:rPr>
        <w:t xml:space="preserve"> UE via RRC</w:t>
      </w:r>
    </w:p>
    <w:p w14:paraId="0B86C26B" w14:textId="6A5CDD84" w:rsidR="00042545" w:rsidRPr="004F7F77" w:rsidRDefault="00042545" w:rsidP="00042545">
      <w:pPr>
        <w:pStyle w:val="B1"/>
        <w:ind w:left="0" w:firstLine="0"/>
        <w:jc w:val="both"/>
        <w:rPr>
          <w:lang w:val="en-US"/>
        </w:rPr>
      </w:pPr>
      <w:r w:rsidRPr="004F7F77">
        <w:rPr>
          <w:lang w:val="en-US"/>
        </w:rPr>
        <w:t xml:space="preserve">Ultimately, it is </w:t>
      </w:r>
      <w:r w:rsidR="004F7F77" w:rsidRPr="004F7F77">
        <w:rPr>
          <w:lang w:val="en-US"/>
        </w:rPr>
        <w:t xml:space="preserve">the gNB-CU which decides on the UL-RS configuration (e.g. including number of transmissions and bandwidth) for the UE. Therefore, it is the gNB-CU which informs the LMF of the uplink signal configurations, so that LMF can send this information to the other gNB-DUs which are potentially capable of measuring UE’s uplink signal. </w:t>
      </w:r>
    </w:p>
    <w:p w14:paraId="1E60BF43" w14:textId="77777777" w:rsidR="009F0CFB" w:rsidRDefault="009F0CFB" w:rsidP="009F0CFB">
      <w:pPr>
        <w:pStyle w:val="Proposal"/>
      </w:pPr>
      <w:r>
        <w:t xml:space="preserve">The gNB-CU provides the uplink signal configuration for a particular UE to the LMF via NRPPa. </w:t>
      </w:r>
    </w:p>
    <w:p w14:paraId="79BC4CCA" w14:textId="2FD6D54E" w:rsidR="00BF750C" w:rsidRDefault="009F0CFB" w:rsidP="009F0CFB">
      <w:pPr>
        <w:pStyle w:val="Proposal"/>
      </w:pPr>
      <w:r>
        <w:lastRenderedPageBreak/>
        <w:t xml:space="preserve">The LMF </w:t>
      </w:r>
      <w:r w:rsidR="00C9137B">
        <w:t xml:space="preserve"> </w:t>
      </w:r>
      <w:r w:rsidR="009E28B6">
        <w:t>does not</w:t>
      </w:r>
      <w:r w:rsidR="006B781D">
        <w:t xml:space="preserve"> decide</w:t>
      </w:r>
      <w:r w:rsidR="000F1E7F">
        <w:t xml:space="preserve"> and</w:t>
      </w:r>
      <w:r w:rsidR="00344EED">
        <w:t>/or</w:t>
      </w:r>
      <w:r w:rsidR="000F1E7F">
        <w:t xml:space="preserve"> relay</w:t>
      </w:r>
      <w:r>
        <w:t xml:space="preserve"> the uplink signal configuration for a particular UE</w:t>
      </w:r>
      <w:r w:rsidR="009E28B6">
        <w:t xml:space="preserve"> </w:t>
      </w:r>
      <w:r w:rsidR="00344EED">
        <w:t>using LPP</w:t>
      </w:r>
      <w:r w:rsidR="009F15BB">
        <w:t xml:space="preserve"> or to </w:t>
      </w:r>
      <w:r>
        <w:t xml:space="preserve"> the gNB-CU via NRPPa.</w:t>
      </w:r>
    </w:p>
    <w:p w14:paraId="3B286380" w14:textId="77777777" w:rsidR="00A51D4E" w:rsidRDefault="00BF750C" w:rsidP="00A51D4E">
      <w:pPr>
        <w:pStyle w:val="Proposal"/>
        <w:numPr>
          <w:ilvl w:val="0"/>
          <w:numId w:val="0"/>
        </w:numPr>
        <w:rPr>
          <w:b w:val="0"/>
        </w:rPr>
      </w:pPr>
      <w:r w:rsidRPr="00BF750C">
        <w:rPr>
          <w:b w:val="0"/>
        </w:rPr>
        <w:t>Similar to what has been previously agreed in LTE, and also as the gNB-CU is the ultimate decision-maker in terms of uplink signal configuration for the UE, we believe that directly transferring the uplink signal configuration from gNB-CU to the UE via RRC is the most efficient way.</w:t>
      </w:r>
      <w:r w:rsidR="00805565">
        <w:rPr>
          <w:b w:val="0"/>
        </w:rPr>
        <w:t xml:space="preserve"> For example, gNB-CU may need to provide bandwidth information, especially if the UE is configured with multiple UL bandwidth parts. </w:t>
      </w:r>
      <w:r w:rsidR="00187BB8">
        <w:rPr>
          <w:b w:val="0"/>
        </w:rPr>
        <w:t>While the LMF can still inform the gNB-CU of UL signal characteristic information, it is still up</w:t>
      </w:r>
      <w:r w:rsidR="00805565">
        <w:rPr>
          <w:b w:val="0"/>
        </w:rPr>
        <w:t xml:space="preserve"> </w:t>
      </w:r>
      <w:r w:rsidR="00187BB8">
        <w:rPr>
          <w:b w:val="0"/>
        </w:rPr>
        <w:t>to the gNB-CU to decide upon this configuration</w:t>
      </w:r>
      <w:r w:rsidR="00F075E0">
        <w:rPr>
          <w:b w:val="0"/>
        </w:rPr>
        <w:t xml:space="preserve"> and relaying</w:t>
      </w:r>
      <w:r w:rsidR="00187BB8">
        <w:rPr>
          <w:b w:val="0"/>
        </w:rPr>
        <w:t>.</w:t>
      </w:r>
      <w:r w:rsidR="00A51D4E">
        <w:rPr>
          <w:b w:val="0"/>
        </w:rPr>
        <w:t xml:space="preserve"> The gNB-CU may inform the LMF about the configured uplink signalling configuration.</w:t>
      </w:r>
    </w:p>
    <w:p w14:paraId="47078939" w14:textId="577050F9" w:rsidR="00187BB8" w:rsidRDefault="00187BB8" w:rsidP="00187BB8">
      <w:pPr>
        <w:pStyle w:val="Proposal"/>
      </w:pPr>
      <w:r>
        <w:t>The gNB-CU decides and provides the uplink signalling configuration to the UE via RRC.</w:t>
      </w:r>
    </w:p>
    <w:p w14:paraId="044B01B4" w14:textId="77777777" w:rsidR="00187BB8" w:rsidRDefault="00187BB8" w:rsidP="00BF750C">
      <w:pPr>
        <w:pStyle w:val="Proposal"/>
        <w:numPr>
          <w:ilvl w:val="0"/>
          <w:numId w:val="0"/>
        </w:numPr>
        <w:rPr>
          <w:b w:val="0"/>
        </w:rPr>
      </w:pPr>
    </w:p>
    <w:p w14:paraId="76B2B56E" w14:textId="190224F2" w:rsidR="00DC18D0" w:rsidRPr="00DC18D0" w:rsidRDefault="00DC18D0" w:rsidP="00DC18D0">
      <w:pPr>
        <w:pStyle w:val="Proposal"/>
      </w:pPr>
      <w:r>
        <w:t xml:space="preserve">The </w:t>
      </w:r>
      <w:r w:rsidR="00A423D1">
        <w:t>gNB-CU</w:t>
      </w:r>
      <w:r>
        <w:t xml:space="preserve"> </w:t>
      </w:r>
      <w:r w:rsidR="00041E76">
        <w:t xml:space="preserve">may </w:t>
      </w:r>
      <w:r>
        <w:t xml:space="preserve">inform the </w:t>
      </w:r>
      <w:r w:rsidR="00A423D1">
        <w:t>LMF</w:t>
      </w:r>
      <w:r w:rsidR="00A314E7">
        <w:t xml:space="preserve"> about the configured</w:t>
      </w:r>
      <w:r>
        <w:t xml:space="preserve"> uplink signalling configuration for the purpose of UL-TDOA of the UE.</w:t>
      </w:r>
      <w:r w:rsidRPr="00DC18D0">
        <w:rPr>
          <w:b w:val="0"/>
        </w:rPr>
        <w:t xml:space="preserve"> </w:t>
      </w:r>
    </w:p>
    <w:p w14:paraId="5D29409F" w14:textId="77777777" w:rsidR="00805565" w:rsidRPr="00260AE5" w:rsidRDefault="00805565" w:rsidP="006E062C">
      <w:pPr>
        <w:rPr>
          <w:lang w:val="en-US"/>
        </w:rPr>
      </w:pPr>
    </w:p>
    <w:p w14:paraId="52F221CA" w14:textId="2798011F" w:rsidR="00805565" w:rsidRDefault="00805565" w:rsidP="006E062C">
      <w:pPr>
        <w:rPr>
          <w:lang w:val="en-US"/>
        </w:rPr>
      </w:pPr>
      <w:r>
        <w:rPr>
          <w:lang w:val="en-US"/>
        </w:rPr>
        <w:t>RAN2 still requires RAN1 decision on the choice of uplink reference signal and the corresponding configuration for the UL-TDOA positioning.</w:t>
      </w:r>
    </w:p>
    <w:p w14:paraId="0D6FC3FA" w14:textId="77777777" w:rsidR="00805565" w:rsidRDefault="00805565" w:rsidP="006E062C">
      <w:pPr>
        <w:rPr>
          <w:lang w:val="en-US"/>
        </w:rPr>
      </w:pPr>
    </w:p>
    <w:p w14:paraId="3300BDA6" w14:textId="20D7F390" w:rsidR="00805565" w:rsidRPr="00805565" w:rsidRDefault="00805565" w:rsidP="006E062C">
      <w:pPr>
        <w:pStyle w:val="Proposal"/>
      </w:pPr>
      <w:r>
        <w:t xml:space="preserve">RAN2 requires RAN1 decision on the choice of the uplink reference signal and the corresponding configuration for UL-TDOA positioning. </w:t>
      </w:r>
    </w:p>
    <w:bookmarkEnd w:id="11"/>
    <w:p w14:paraId="45A9A3ED" w14:textId="3A106775" w:rsidR="00C01F33" w:rsidRPr="00CE0424" w:rsidRDefault="00C01F33" w:rsidP="00CE0424">
      <w:pPr>
        <w:pStyle w:val="Heading1"/>
      </w:pPr>
      <w:r w:rsidRPr="00CE0424">
        <w:t>C</w:t>
      </w:r>
      <w:r w:rsidR="00805565">
        <w:t>o</w:t>
      </w:r>
      <w:r w:rsidRPr="00CE0424">
        <w:t>nclusion</w:t>
      </w:r>
    </w:p>
    <w:p w14:paraId="575E77ED" w14:textId="53A2B561" w:rsidR="0039440F"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A2D2E">
        <w:t>2</w:t>
      </w:r>
      <w:r w:rsidRPr="00CE0424">
        <w:rPr>
          <w:highlight w:val="cyan"/>
        </w:rPr>
        <w:fldChar w:fldCharType="end"/>
      </w:r>
      <w:r w:rsidRPr="00CE0424">
        <w:t xml:space="preserve"> we propose the following:</w:t>
      </w:r>
    </w:p>
    <w:p w14:paraId="1C3ADD84" w14:textId="442494D3" w:rsidR="00175530" w:rsidRDefault="00175530" w:rsidP="00C02E59">
      <w:pPr>
        <w:pStyle w:val="Proposal"/>
        <w:numPr>
          <w:ilvl w:val="0"/>
          <w:numId w:val="23"/>
        </w:numPr>
      </w:pPr>
      <w:r>
        <w:t>The NR uplink measurements including UL RTOA is done in gNB-DUs.</w:t>
      </w:r>
    </w:p>
    <w:p w14:paraId="4A98011D" w14:textId="26B1FB02" w:rsidR="00175530" w:rsidRDefault="00175530" w:rsidP="00175530">
      <w:pPr>
        <w:pStyle w:val="Proposal"/>
      </w:pPr>
      <w:r>
        <w:t xml:space="preserve">The (F1AP + NRPPa) transfer the UL RTOA from gNB-DU to the LMF. </w:t>
      </w:r>
    </w:p>
    <w:p w14:paraId="0A124290" w14:textId="211AC7D9" w:rsidR="00175530" w:rsidRDefault="00175530" w:rsidP="00175530">
      <w:pPr>
        <w:pStyle w:val="Proposal"/>
      </w:pPr>
      <w:r>
        <w:t xml:space="preserve">The (NRPPa + F1AP) transfer the uplink signal configurations e.x. SRS from the LMF to </w:t>
      </w:r>
      <w:r w:rsidR="00AA64CA">
        <w:t xml:space="preserve">one or more </w:t>
      </w:r>
      <w:r>
        <w:t>gNB-DU</w:t>
      </w:r>
      <w:r w:rsidR="00AA64CA">
        <w:t>s which can receive the UE’s UL transmissions</w:t>
      </w:r>
      <w:r>
        <w:t xml:space="preserve">. </w:t>
      </w:r>
    </w:p>
    <w:p w14:paraId="59D18893" w14:textId="77777777" w:rsidR="00175530" w:rsidRDefault="00175530" w:rsidP="00175530">
      <w:pPr>
        <w:pStyle w:val="Proposal"/>
      </w:pPr>
      <w:r>
        <w:t xml:space="preserve">The gNB-CU provides the uplink signal configuration for a particular UE to the LMF via NRPPa. </w:t>
      </w:r>
    </w:p>
    <w:p w14:paraId="567160B1" w14:textId="632A2776" w:rsidR="00175530" w:rsidRDefault="00175530" w:rsidP="00175530">
      <w:pPr>
        <w:pStyle w:val="Proposal"/>
      </w:pPr>
      <w:r>
        <w:t xml:space="preserve">The LMF </w:t>
      </w:r>
      <w:r w:rsidR="00260AE5">
        <w:t xml:space="preserve">does </w:t>
      </w:r>
      <w:r w:rsidR="002E30F5">
        <w:t>not decide</w:t>
      </w:r>
      <w:r w:rsidR="0060253A">
        <w:t xml:space="preserve"> and/or relay</w:t>
      </w:r>
      <w:r w:rsidR="002E30F5">
        <w:t xml:space="preserve"> the </w:t>
      </w:r>
      <w:r>
        <w:t xml:space="preserve">uplink signal configuration for a particular UE </w:t>
      </w:r>
      <w:r w:rsidR="0060253A">
        <w:t>using LPP</w:t>
      </w:r>
      <w:r w:rsidR="000F3CD0">
        <w:t xml:space="preserve"> or to </w:t>
      </w:r>
      <w:r>
        <w:t>the gNB-CU via NRPPa.</w:t>
      </w:r>
    </w:p>
    <w:p w14:paraId="2132191F" w14:textId="5A3353F6" w:rsidR="00175530" w:rsidRDefault="00175530" w:rsidP="00C50A59">
      <w:pPr>
        <w:pStyle w:val="Proposal"/>
      </w:pPr>
      <w:r>
        <w:t>The gNB-CU decides and provides the uplink signalling configuration to the UE via RRC.</w:t>
      </w:r>
    </w:p>
    <w:p w14:paraId="08699B6A" w14:textId="77777777" w:rsidR="00041E76" w:rsidRPr="00DC18D0" w:rsidRDefault="00041E76" w:rsidP="00041E76">
      <w:pPr>
        <w:pStyle w:val="Proposal"/>
      </w:pPr>
      <w:r>
        <w:t>The gNB-CU may inform the LMF about the configured uplink signalling configuration for the purpose of UL-TDOA of the UE.</w:t>
      </w:r>
      <w:r w:rsidRPr="00DC18D0">
        <w:rPr>
          <w:b w:val="0"/>
        </w:rPr>
        <w:t xml:space="preserve"> </w:t>
      </w:r>
    </w:p>
    <w:p w14:paraId="50A02218" w14:textId="659E335A" w:rsidR="001C04F7" w:rsidRPr="00CE0424" w:rsidRDefault="00175530" w:rsidP="00C50A59">
      <w:pPr>
        <w:pStyle w:val="Proposal"/>
      </w:pPr>
      <w:r>
        <w:t xml:space="preserve">RAN2 requires RAN1 decision on the choice of the uplink reference signal and the corresponding configuration for UL-TDOA positioning. </w:t>
      </w:r>
    </w:p>
    <w:p w14:paraId="44F98E27" w14:textId="55D3802D" w:rsidR="00113739" w:rsidRPr="00CE0424" w:rsidRDefault="00113739" w:rsidP="00113739">
      <w:pPr>
        <w:pStyle w:val="Heading1"/>
      </w:pPr>
      <w:bookmarkStart w:id="12" w:name="_In-sequence_SDU_delivery"/>
      <w:bookmarkEnd w:id="12"/>
      <w:r>
        <w:t>References</w:t>
      </w:r>
    </w:p>
    <w:p w14:paraId="41CC2E32" w14:textId="065A9FBA" w:rsidR="003A7EF3" w:rsidRDefault="00113739" w:rsidP="00113739">
      <w:pPr>
        <w:pStyle w:val="BodyText"/>
      </w:pPr>
      <w:r>
        <w:t>[1] TR 38.855, Study on NR positioning support, Rel. 16.0.0.</w:t>
      </w:r>
    </w:p>
    <w:p w14:paraId="5DAE5A51" w14:textId="5FFA0F4B" w:rsidR="00113739" w:rsidRDefault="00113739" w:rsidP="00113739">
      <w:pPr>
        <w:pStyle w:val="BodyText"/>
      </w:pPr>
      <w:r>
        <w:t xml:space="preserve">[2] </w:t>
      </w:r>
      <w:r w:rsidR="007847E9">
        <w:t>RP190752, New WID: NR positioning support; Rel.16, Intel, Ericsson.</w:t>
      </w:r>
    </w:p>
    <w:p w14:paraId="1729A776" w14:textId="3871345C" w:rsidR="00892631" w:rsidRPr="00CE0424" w:rsidRDefault="00892631" w:rsidP="00113739">
      <w:pPr>
        <w:pStyle w:val="BodyText"/>
      </w:pPr>
      <w:r>
        <w:t xml:space="preserve">[3] </w:t>
      </w:r>
      <w:r w:rsidR="0039440F">
        <w:t xml:space="preserve">TS 38.473, NG-RAN F1 Application Protocol (F1AP).  </w:t>
      </w:r>
    </w:p>
    <w:sectPr w:rsidR="00892631"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51493" w14:textId="77777777" w:rsidR="00074AC8" w:rsidRDefault="00074AC8">
      <w:r>
        <w:separator/>
      </w:r>
    </w:p>
  </w:endnote>
  <w:endnote w:type="continuationSeparator" w:id="0">
    <w:p w14:paraId="1CE111DA" w14:textId="77777777" w:rsidR="00074AC8" w:rsidRDefault="00074AC8">
      <w:r>
        <w:continuationSeparator/>
      </w:r>
    </w:p>
  </w:endnote>
  <w:endnote w:type="continuationNotice" w:id="1">
    <w:p w14:paraId="40C9DE41" w14:textId="77777777" w:rsidR="00074AC8" w:rsidRDefault="00074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6A47D23F" w:rsidR="00274D4E" w:rsidRDefault="00274D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74909" w14:textId="77777777" w:rsidR="00074AC8" w:rsidRDefault="00074AC8">
      <w:r>
        <w:separator/>
      </w:r>
    </w:p>
  </w:footnote>
  <w:footnote w:type="continuationSeparator" w:id="0">
    <w:p w14:paraId="583D3700" w14:textId="77777777" w:rsidR="00074AC8" w:rsidRDefault="00074AC8">
      <w:r>
        <w:continuationSeparator/>
      </w:r>
    </w:p>
  </w:footnote>
  <w:footnote w:type="continuationNotice" w:id="1">
    <w:p w14:paraId="5CDDE991" w14:textId="77777777" w:rsidR="00074AC8" w:rsidRDefault="00074A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274D4E" w:rsidRDefault="00274D4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382"/>
        </w:tabs>
        <w:ind w:left="738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C2192F"/>
    <w:multiLevelType w:val="hybridMultilevel"/>
    <w:tmpl w:val="22BCC8B6"/>
    <w:lvl w:ilvl="0" w:tplc="4E441558">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9EBC304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CE10DC"/>
    <w:multiLevelType w:val="hybridMultilevel"/>
    <w:tmpl w:val="DAD853F8"/>
    <w:lvl w:ilvl="0" w:tplc="CBD08C7E">
      <w:start w:val="1"/>
      <w:numFmt w:val="bullet"/>
      <w:lvlText w:val="›"/>
      <w:lvlJc w:val="left"/>
      <w:pPr>
        <w:tabs>
          <w:tab w:val="num" w:pos="720"/>
        </w:tabs>
        <w:ind w:left="720" w:hanging="360"/>
      </w:pPr>
      <w:rPr>
        <w:rFonts w:ascii="Arial" w:hAnsi="Arial" w:hint="default"/>
      </w:rPr>
    </w:lvl>
    <w:lvl w:ilvl="1" w:tplc="2EF84D84">
      <w:start w:val="206"/>
      <w:numFmt w:val="bullet"/>
      <w:lvlText w:val="–"/>
      <w:lvlJc w:val="left"/>
      <w:pPr>
        <w:tabs>
          <w:tab w:val="num" w:pos="1440"/>
        </w:tabs>
        <w:ind w:left="1440" w:hanging="360"/>
      </w:pPr>
      <w:rPr>
        <w:rFonts w:ascii="Ericsson Capital TT" w:hAnsi="Ericsson Capital TT" w:hint="default"/>
      </w:rPr>
    </w:lvl>
    <w:lvl w:ilvl="2" w:tplc="2BF84DCC" w:tentative="1">
      <w:start w:val="1"/>
      <w:numFmt w:val="bullet"/>
      <w:lvlText w:val="›"/>
      <w:lvlJc w:val="left"/>
      <w:pPr>
        <w:tabs>
          <w:tab w:val="num" w:pos="2160"/>
        </w:tabs>
        <w:ind w:left="2160" w:hanging="360"/>
      </w:pPr>
      <w:rPr>
        <w:rFonts w:ascii="Arial" w:hAnsi="Arial" w:hint="default"/>
      </w:rPr>
    </w:lvl>
    <w:lvl w:ilvl="3" w:tplc="1B9C897A" w:tentative="1">
      <w:start w:val="1"/>
      <w:numFmt w:val="bullet"/>
      <w:lvlText w:val="›"/>
      <w:lvlJc w:val="left"/>
      <w:pPr>
        <w:tabs>
          <w:tab w:val="num" w:pos="2880"/>
        </w:tabs>
        <w:ind w:left="2880" w:hanging="360"/>
      </w:pPr>
      <w:rPr>
        <w:rFonts w:ascii="Arial" w:hAnsi="Arial" w:hint="default"/>
      </w:rPr>
    </w:lvl>
    <w:lvl w:ilvl="4" w:tplc="6EFC2610" w:tentative="1">
      <w:start w:val="1"/>
      <w:numFmt w:val="bullet"/>
      <w:lvlText w:val="›"/>
      <w:lvlJc w:val="left"/>
      <w:pPr>
        <w:tabs>
          <w:tab w:val="num" w:pos="3600"/>
        </w:tabs>
        <w:ind w:left="3600" w:hanging="360"/>
      </w:pPr>
      <w:rPr>
        <w:rFonts w:ascii="Arial" w:hAnsi="Arial" w:hint="default"/>
      </w:rPr>
    </w:lvl>
    <w:lvl w:ilvl="5" w:tplc="7C3CA132" w:tentative="1">
      <w:start w:val="1"/>
      <w:numFmt w:val="bullet"/>
      <w:lvlText w:val="›"/>
      <w:lvlJc w:val="left"/>
      <w:pPr>
        <w:tabs>
          <w:tab w:val="num" w:pos="4320"/>
        </w:tabs>
        <w:ind w:left="4320" w:hanging="360"/>
      </w:pPr>
      <w:rPr>
        <w:rFonts w:ascii="Arial" w:hAnsi="Arial" w:hint="default"/>
      </w:rPr>
    </w:lvl>
    <w:lvl w:ilvl="6" w:tplc="681ED9AE" w:tentative="1">
      <w:start w:val="1"/>
      <w:numFmt w:val="bullet"/>
      <w:lvlText w:val="›"/>
      <w:lvlJc w:val="left"/>
      <w:pPr>
        <w:tabs>
          <w:tab w:val="num" w:pos="5040"/>
        </w:tabs>
        <w:ind w:left="5040" w:hanging="360"/>
      </w:pPr>
      <w:rPr>
        <w:rFonts w:ascii="Arial" w:hAnsi="Arial" w:hint="default"/>
      </w:rPr>
    </w:lvl>
    <w:lvl w:ilvl="7" w:tplc="A98852B4" w:tentative="1">
      <w:start w:val="1"/>
      <w:numFmt w:val="bullet"/>
      <w:lvlText w:val="›"/>
      <w:lvlJc w:val="left"/>
      <w:pPr>
        <w:tabs>
          <w:tab w:val="num" w:pos="5760"/>
        </w:tabs>
        <w:ind w:left="5760" w:hanging="360"/>
      </w:pPr>
      <w:rPr>
        <w:rFonts w:ascii="Arial" w:hAnsi="Arial" w:hint="default"/>
      </w:rPr>
    </w:lvl>
    <w:lvl w:ilvl="8" w:tplc="2E3E4B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2"/>
  </w:num>
  <w:num w:numId="21">
    <w:abstractNumId w:val="10"/>
    <w:lvlOverride w:ilvl="0">
      <w:startOverride w:val="1"/>
    </w:lvlOverride>
  </w:num>
  <w:num w:numId="22">
    <w:abstractNumId w:val="6"/>
  </w:num>
  <w:num w:numId="23">
    <w:abstractNumId w:val="10"/>
    <w:lvlOverride w:ilvl="0">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1A"/>
    <w:rsid w:val="000006E1"/>
    <w:rsid w:val="00002A37"/>
    <w:rsid w:val="000039F4"/>
    <w:rsid w:val="00006446"/>
    <w:rsid w:val="00006896"/>
    <w:rsid w:val="00007CDC"/>
    <w:rsid w:val="00010437"/>
    <w:rsid w:val="00011B28"/>
    <w:rsid w:val="00015D15"/>
    <w:rsid w:val="0002564D"/>
    <w:rsid w:val="00025ECA"/>
    <w:rsid w:val="00027455"/>
    <w:rsid w:val="00031732"/>
    <w:rsid w:val="000325B8"/>
    <w:rsid w:val="00034C15"/>
    <w:rsid w:val="00036BA1"/>
    <w:rsid w:val="00041E76"/>
    <w:rsid w:val="000422E2"/>
    <w:rsid w:val="00042545"/>
    <w:rsid w:val="00042F22"/>
    <w:rsid w:val="000444EF"/>
    <w:rsid w:val="00052A07"/>
    <w:rsid w:val="000534E3"/>
    <w:rsid w:val="0005606A"/>
    <w:rsid w:val="00057117"/>
    <w:rsid w:val="000616E7"/>
    <w:rsid w:val="0006487E"/>
    <w:rsid w:val="00065440"/>
    <w:rsid w:val="00065E1A"/>
    <w:rsid w:val="00073FDC"/>
    <w:rsid w:val="00074AC8"/>
    <w:rsid w:val="00077E5F"/>
    <w:rsid w:val="0008036A"/>
    <w:rsid w:val="000807E3"/>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401"/>
    <w:rsid w:val="000E0527"/>
    <w:rsid w:val="000E1E92"/>
    <w:rsid w:val="000F06D6"/>
    <w:rsid w:val="000F0EB1"/>
    <w:rsid w:val="000F1106"/>
    <w:rsid w:val="000F1E7F"/>
    <w:rsid w:val="000F3BE9"/>
    <w:rsid w:val="000F3CD0"/>
    <w:rsid w:val="000F3F6C"/>
    <w:rsid w:val="000F6DF3"/>
    <w:rsid w:val="001005FF"/>
    <w:rsid w:val="001062FB"/>
    <w:rsid w:val="001063E6"/>
    <w:rsid w:val="00113739"/>
    <w:rsid w:val="00113CF4"/>
    <w:rsid w:val="001153EA"/>
    <w:rsid w:val="00115643"/>
    <w:rsid w:val="00116765"/>
    <w:rsid w:val="001219F5"/>
    <w:rsid w:val="00121A20"/>
    <w:rsid w:val="00123119"/>
    <w:rsid w:val="0012377F"/>
    <w:rsid w:val="00124314"/>
    <w:rsid w:val="00126B4A"/>
    <w:rsid w:val="00132FD0"/>
    <w:rsid w:val="001344C0"/>
    <w:rsid w:val="001346FA"/>
    <w:rsid w:val="00135252"/>
    <w:rsid w:val="00137AB5"/>
    <w:rsid w:val="00137F0B"/>
    <w:rsid w:val="00151E23"/>
    <w:rsid w:val="001526E0"/>
    <w:rsid w:val="001551B5"/>
    <w:rsid w:val="00164F3F"/>
    <w:rsid w:val="001659C1"/>
    <w:rsid w:val="00170C75"/>
    <w:rsid w:val="00173A8E"/>
    <w:rsid w:val="00175530"/>
    <w:rsid w:val="00177795"/>
    <w:rsid w:val="0018143F"/>
    <w:rsid w:val="00187BB8"/>
    <w:rsid w:val="00190AC1"/>
    <w:rsid w:val="0019341A"/>
    <w:rsid w:val="00197DF9"/>
    <w:rsid w:val="001A1987"/>
    <w:rsid w:val="001A2564"/>
    <w:rsid w:val="001A6173"/>
    <w:rsid w:val="001A6CBA"/>
    <w:rsid w:val="001B0D97"/>
    <w:rsid w:val="001B5A5D"/>
    <w:rsid w:val="001B5E8E"/>
    <w:rsid w:val="001C04F7"/>
    <w:rsid w:val="001C1CE5"/>
    <w:rsid w:val="001C2CA7"/>
    <w:rsid w:val="001C3D2A"/>
    <w:rsid w:val="001C46A8"/>
    <w:rsid w:val="001D51BA"/>
    <w:rsid w:val="001D6342"/>
    <w:rsid w:val="001D6D53"/>
    <w:rsid w:val="001E58E2"/>
    <w:rsid w:val="001E7AED"/>
    <w:rsid w:val="001F25B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0AE5"/>
    <w:rsid w:val="002617E7"/>
    <w:rsid w:val="00264228"/>
    <w:rsid w:val="00264334"/>
    <w:rsid w:val="0026473E"/>
    <w:rsid w:val="00266214"/>
    <w:rsid w:val="00267C83"/>
    <w:rsid w:val="0027144F"/>
    <w:rsid w:val="0027172F"/>
    <w:rsid w:val="00271F3A"/>
    <w:rsid w:val="00273278"/>
    <w:rsid w:val="002737F4"/>
    <w:rsid w:val="00274D4E"/>
    <w:rsid w:val="00276447"/>
    <w:rsid w:val="002805F5"/>
    <w:rsid w:val="00280751"/>
    <w:rsid w:val="0028280A"/>
    <w:rsid w:val="00286ACD"/>
    <w:rsid w:val="00287838"/>
    <w:rsid w:val="002907B5"/>
    <w:rsid w:val="00292EB7"/>
    <w:rsid w:val="0029495A"/>
    <w:rsid w:val="00296227"/>
    <w:rsid w:val="00296F44"/>
    <w:rsid w:val="0029777D"/>
    <w:rsid w:val="002A055E"/>
    <w:rsid w:val="002A1D4E"/>
    <w:rsid w:val="002A2869"/>
    <w:rsid w:val="002B24D6"/>
    <w:rsid w:val="002C415E"/>
    <w:rsid w:val="002C41E6"/>
    <w:rsid w:val="002C449D"/>
    <w:rsid w:val="002D071A"/>
    <w:rsid w:val="002D34B2"/>
    <w:rsid w:val="002D7637"/>
    <w:rsid w:val="002E1209"/>
    <w:rsid w:val="002E17F2"/>
    <w:rsid w:val="002E17F9"/>
    <w:rsid w:val="002E30F5"/>
    <w:rsid w:val="002E7CAE"/>
    <w:rsid w:val="002F2771"/>
    <w:rsid w:val="002F37A9"/>
    <w:rsid w:val="002F736B"/>
    <w:rsid w:val="00301CE6"/>
    <w:rsid w:val="0030256B"/>
    <w:rsid w:val="00303162"/>
    <w:rsid w:val="0030501F"/>
    <w:rsid w:val="00307220"/>
    <w:rsid w:val="00307BA1"/>
    <w:rsid w:val="00311702"/>
    <w:rsid w:val="00311E82"/>
    <w:rsid w:val="00313FD6"/>
    <w:rsid w:val="003143BD"/>
    <w:rsid w:val="003203ED"/>
    <w:rsid w:val="00322C9F"/>
    <w:rsid w:val="00324D23"/>
    <w:rsid w:val="00326218"/>
    <w:rsid w:val="00331751"/>
    <w:rsid w:val="00334579"/>
    <w:rsid w:val="00335858"/>
    <w:rsid w:val="00336BDA"/>
    <w:rsid w:val="00342BD7"/>
    <w:rsid w:val="00343A07"/>
    <w:rsid w:val="00344DBC"/>
    <w:rsid w:val="00344EED"/>
    <w:rsid w:val="00346DB5"/>
    <w:rsid w:val="003477B1"/>
    <w:rsid w:val="00357380"/>
    <w:rsid w:val="003602D9"/>
    <w:rsid w:val="003604CE"/>
    <w:rsid w:val="00370E47"/>
    <w:rsid w:val="003742AC"/>
    <w:rsid w:val="00377CE1"/>
    <w:rsid w:val="00385BF0"/>
    <w:rsid w:val="003939FF"/>
    <w:rsid w:val="0039440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E15FA"/>
    <w:rsid w:val="003E55E4"/>
    <w:rsid w:val="003E74E3"/>
    <w:rsid w:val="003F05C7"/>
    <w:rsid w:val="003F1C2B"/>
    <w:rsid w:val="003F2CD4"/>
    <w:rsid w:val="003F6BBE"/>
    <w:rsid w:val="003F7DCC"/>
    <w:rsid w:val="004000E8"/>
    <w:rsid w:val="00402E2B"/>
    <w:rsid w:val="0040512B"/>
    <w:rsid w:val="00405CA5"/>
    <w:rsid w:val="00407CD3"/>
    <w:rsid w:val="00410134"/>
    <w:rsid w:val="00410B72"/>
    <w:rsid w:val="00410F18"/>
    <w:rsid w:val="0041263E"/>
    <w:rsid w:val="00413AAC"/>
    <w:rsid w:val="00421105"/>
    <w:rsid w:val="004242F4"/>
    <w:rsid w:val="00427248"/>
    <w:rsid w:val="00431B34"/>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C5F6C"/>
    <w:rsid w:val="004D36B1"/>
    <w:rsid w:val="004D5C0F"/>
    <w:rsid w:val="004D7EBD"/>
    <w:rsid w:val="004E2680"/>
    <w:rsid w:val="004E2703"/>
    <w:rsid w:val="004E28F9"/>
    <w:rsid w:val="004E462E"/>
    <w:rsid w:val="004E56DC"/>
    <w:rsid w:val="004E76F4"/>
    <w:rsid w:val="004F0B4E"/>
    <w:rsid w:val="004F0B6C"/>
    <w:rsid w:val="004F2078"/>
    <w:rsid w:val="004F2E74"/>
    <w:rsid w:val="004F4DA3"/>
    <w:rsid w:val="004F7F77"/>
    <w:rsid w:val="00506557"/>
    <w:rsid w:val="0050677A"/>
    <w:rsid w:val="005108D8"/>
    <w:rsid w:val="005116F9"/>
    <w:rsid w:val="00512C92"/>
    <w:rsid w:val="005153A7"/>
    <w:rsid w:val="005219CF"/>
    <w:rsid w:val="00534B59"/>
    <w:rsid w:val="00536759"/>
    <w:rsid w:val="00537C62"/>
    <w:rsid w:val="00546970"/>
    <w:rsid w:val="00554D4B"/>
    <w:rsid w:val="00554E19"/>
    <w:rsid w:val="0056121F"/>
    <w:rsid w:val="0057048C"/>
    <w:rsid w:val="00571624"/>
    <w:rsid w:val="00572505"/>
    <w:rsid w:val="00576EC6"/>
    <w:rsid w:val="00582809"/>
    <w:rsid w:val="0058798C"/>
    <w:rsid w:val="005900FA"/>
    <w:rsid w:val="005935A4"/>
    <w:rsid w:val="005948C2"/>
    <w:rsid w:val="00595DCA"/>
    <w:rsid w:val="0059779B"/>
    <w:rsid w:val="005A209A"/>
    <w:rsid w:val="005A662D"/>
    <w:rsid w:val="005B35D7"/>
    <w:rsid w:val="005B392A"/>
    <w:rsid w:val="005B3AA3"/>
    <w:rsid w:val="005B433F"/>
    <w:rsid w:val="005B591A"/>
    <w:rsid w:val="005B6F83"/>
    <w:rsid w:val="005C74FB"/>
    <w:rsid w:val="005D1602"/>
    <w:rsid w:val="005E25C7"/>
    <w:rsid w:val="005E385F"/>
    <w:rsid w:val="005E5B81"/>
    <w:rsid w:val="005F2CB1"/>
    <w:rsid w:val="005F3025"/>
    <w:rsid w:val="005F618C"/>
    <w:rsid w:val="005F70BD"/>
    <w:rsid w:val="0060253A"/>
    <w:rsid w:val="0060283C"/>
    <w:rsid w:val="00604860"/>
    <w:rsid w:val="00604F14"/>
    <w:rsid w:val="00611B83"/>
    <w:rsid w:val="00613257"/>
    <w:rsid w:val="00620A71"/>
    <w:rsid w:val="00620D80"/>
    <w:rsid w:val="006234A6"/>
    <w:rsid w:val="0062751C"/>
    <w:rsid w:val="00630001"/>
    <w:rsid w:val="006311B3"/>
    <w:rsid w:val="0063284C"/>
    <w:rsid w:val="00636398"/>
    <w:rsid w:val="006368D3"/>
    <w:rsid w:val="006377EC"/>
    <w:rsid w:val="0064151F"/>
    <w:rsid w:val="00641533"/>
    <w:rsid w:val="0064208D"/>
    <w:rsid w:val="00643293"/>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52E"/>
    <w:rsid w:val="006675E4"/>
    <w:rsid w:val="00667EE7"/>
    <w:rsid w:val="00670922"/>
    <w:rsid w:val="00670BE1"/>
    <w:rsid w:val="0067218F"/>
    <w:rsid w:val="006741F2"/>
    <w:rsid w:val="00674CC3"/>
    <w:rsid w:val="00675C72"/>
    <w:rsid w:val="006768FF"/>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81D"/>
    <w:rsid w:val="006C03B8"/>
    <w:rsid w:val="006C257C"/>
    <w:rsid w:val="006C5EC9"/>
    <w:rsid w:val="006C6059"/>
    <w:rsid w:val="006C7522"/>
    <w:rsid w:val="006D5372"/>
    <w:rsid w:val="006D6F08"/>
    <w:rsid w:val="006E062C"/>
    <w:rsid w:val="006E28B7"/>
    <w:rsid w:val="006E3310"/>
    <w:rsid w:val="006E4E39"/>
    <w:rsid w:val="006E565E"/>
    <w:rsid w:val="006E673D"/>
    <w:rsid w:val="006E7D3B"/>
    <w:rsid w:val="006F1B70"/>
    <w:rsid w:val="006F341D"/>
    <w:rsid w:val="006F3CDE"/>
    <w:rsid w:val="006F50CE"/>
    <w:rsid w:val="006F58D4"/>
    <w:rsid w:val="0070346E"/>
    <w:rsid w:val="00704EDB"/>
    <w:rsid w:val="00706101"/>
    <w:rsid w:val="00707072"/>
    <w:rsid w:val="00707D61"/>
    <w:rsid w:val="00712287"/>
    <w:rsid w:val="00712772"/>
    <w:rsid w:val="007148D3"/>
    <w:rsid w:val="00715B9A"/>
    <w:rsid w:val="00720DC4"/>
    <w:rsid w:val="00723B36"/>
    <w:rsid w:val="00726EA6"/>
    <w:rsid w:val="00727208"/>
    <w:rsid w:val="00727680"/>
    <w:rsid w:val="007348B1"/>
    <w:rsid w:val="007362A6"/>
    <w:rsid w:val="00736D7D"/>
    <w:rsid w:val="00740E58"/>
    <w:rsid w:val="007445A0"/>
    <w:rsid w:val="0074524B"/>
    <w:rsid w:val="007477D4"/>
    <w:rsid w:val="00747D8B"/>
    <w:rsid w:val="00751228"/>
    <w:rsid w:val="00754AFA"/>
    <w:rsid w:val="007571E1"/>
    <w:rsid w:val="007604B2"/>
    <w:rsid w:val="00765281"/>
    <w:rsid w:val="00766BAD"/>
    <w:rsid w:val="007730BD"/>
    <w:rsid w:val="007755F2"/>
    <w:rsid w:val="00776971"/>
    <w:rsid w:val="0078177E"/>
    <w:rsid w:val="0078304C"/>
    <w:rsid w:val="00783673"/>
    <w:rsid w:val="007847E9"/>
    <w:rsid w:val="00785490"/>
    <w:rsid w:val="007925EA"/>
    <w:rsid w:val="00793CD8"/>
    <w:rsid w:val="00795C92"/>
    <w:rsid w:val="00796231"/>
    <w:rsid w:val="007A1CB3"/>
    <w:rsid w:val="007A2D2E"/>
    <w:rsid w:val="007A306F"/>
    <w:rsid w:val="007A43A6"/>
    <w:rsid w:val="007A58A6"/>
    <w:rsid w:val="007A6970"/>
    <w:rsid w:val="007A783D"/>
    <w:rsid w:val="007B1E41"/>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565"/>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14FD"/>
    <w:rsid w:val="008677FD"/>
    <w:rsid w:val="008706D4"/>
    <w:rsid w:val="00870F8A"/>
    <w:rsid w:val="008719A4"/>
    <w:rsid w:val="00871D23"/>
    <w:rsid w:val="00874312"/>
    <w:rsid w:val="0087437C"/>
    <w:rsid w:val="00875CD7"/>
    <w:rsid w:val="00876B4D"/>
    <w:rsid w:val="00877F18"/>
    <w:rsid w:val="00891FF6"/>
    <w:rsid w:val="0089263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889"/>
    <w:rsid w:val="008C2017"/>
    <w:rsid w:val="008C30F5"/>
    <w:rsid w:val="008C4958"/>
    <w:rsid w:val="008C4BAA"/>
    <w:rsid w:val="008C6AE8"/>
    <w:rsid w:val="008C7573"/>
    <w:rsid w:val="008D34F1"/>
    <w:rsid w:val="008D39D8"/>
    <w:rsid w:val="008D6D1A"/>
    <w:rsid w:val="008E065E"/>
    <w:rsid w:val="008E0927"/>
    <w:rsid w:val="008E1909"/>
    <w:rsid w:val="008E7AD1"/>
    <w:rsid w:val="008F0E6E"/>
    <w:rsid w:val="008F1EAB"/>
    <w:rsid w:val="008F33DC"/>
    <w:rsid w:val="008F477F"/>
    <w:rsid w:val="00902350"/>
    <w:rsid w:val="0090336B"/>
    <w:rsid w:val="009053AA"/>
    <w:rsid w:val="00906939"/>
    <w:rsid w:val="00910B7D"/>
    <w:rsid w:val="00910BD5"/>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24F"/>
    <w:rsid w:val="0096430A"/>
    <w:rsid w:val="0096554B"/>
    <w:rsid w:val="0096584A"/>
    <w:rsid w:val="00971F08"/>
    <w:rsid w:val="0097603D"/>
    <w:rsid w:val="00976949"/>
    <w:rsid w:val="00980477"/>
    <w:rsid w:val="00980938"/>
    <w:rsid w:val="009809DD"/>
    <w:rsid w:val="00985253"/>
    <w:rsid w:val="009853B3"/>
    <w:rsid w:val="00990630"/>
    <w:rsid w:val="00991761"/>
    <w:rsid w:val="00994DCA"/>
    <w:rsid w:val="009960EC"/>
    <w:rsid w:val="009970DD"/>
    <w:rsid w:val="009A0B24"/>
    <w:rsid w:val="009A0FBA"/>
    <w:rsid w:val="009A1601"/>
    <w:rsid w:val="009A24A3"/>
    <w:rsid w:val="009A462D"/>
    <w:rsid w:val="009A5CBA"/>
    <w:rsid w:val="009B1F30"/>
    <w:rsid w:val="009B3AC2"/>
    <w:rsid w:val="009B4DF4"/>
    <w:rsid w:val="009B564E"/>
    <w:rsid w:val="009B7E87"/>
    <w:rsid w:val="009C403E"/>
    <w:rsid w:val="009D2028"/>
    <w:rsid w:val="009D4FF0"/>
    <w:rsid w:val="009D703C"/>
    <w:rsid w:val="009D718F"/>
    <w:rsid w:val="009E068F"/>
    <w:rsid w:val="009E14E0"/>
    <w:rsid w:val="009E28B6"/>
    <w:rsid w:val="009E35DB"/>
    <w:rsid w:val="009E47A3"/>
    <w:rsid w:val="009F08F3"/>
    <w:rsid w:val="009F0CFB"/>
    <w:rsid w:val="009F15BB"/>
    <w:rsid w:val="009F344F"/>
    <w:rsid w:val="00A048A8"/>
    <w:rsid w:val="00A04F49"/>
    <w:rsid w:val="00A0613C"/>
    <w:rsid w:val="00A13E54"/>
    <w:rsid w:val="00A17F63"/>
    <w:rsid w:val="00A2193B"/>
    <w:rsid w:val="00A232AB"/>
    <w:rsid w:val="00A2351A"/>
    <w:rsid w:val="00A264A9"/>
    <w:rsid w:val="00A27785"/>
    <w:rsid w:val="00A30187"/>
    <w:rsid w:val="00A314E7"/>
    <w:rsid w:val="00A3448A"/>
    <w:rsid w:val="00A36297"/>
    <w:rsid w:val="00A41E2B"/>
    <w:rsid w:val="00A423D1"/>
    <w:rsid w:val="00A4247C"/>
    <w:rsid w:val="00A45B74"/>
    <w:rsid w:val="00A51D4E"/>
    <w:rsid w:val="00A52E1D"/>
    <w:rsid w:val="00A61499"/>
    <w:rsid w:val="00A62A77"/>
    <w:rsid w:val="00A63483"/>
    <w:rsid w:val="00A657D7"/>
    <w:rsid w:val="00A660AC"/>
    <w:rsid w:val="00A663E0"/>
    <w:rsid w:val="00A66F55"/>
    <w:rsid w:val="00A67E6C"/>
    <w:rsid w:val="00A7054D"/>
    <w:rsid w:val="00A71B99"/>
    <w:rsid w:val="00A739D0"/>
    <w:rsid w:val="00A761D4"/>
    <w:rsid w:val="00A77EC4"/>
    <w:rsid w:val="00A92879"/>
    <w:rsid w:val="00A9442A"/>
    <w:rsid w:val="00AA016F"/>
    <w:rsid w:val="00AA1ED6"/>
    <w:rsid w:val="00AA51D6"/>
    <w:rsid w:val="00AA64CA"/>
    <w:rsid w:val="00AB0BC8"/>
    <w:rsid w:val="00AB11CA"/>
    <w:rsid w:val="00AB14D9"/>
    <w:rsid w:val="00AB4AB8"/>
    <w:rsid w:val="00AB655E"/>
    <w:rsid w:val="00AB6A07"/>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2F4"/>
    <w:rsid w:val="00B2763F"/>
    <w:rsid w:val="00B27AAC"/>
    <w:rsid w:val="00B305E2"/>
    <w:rsid w:val="00B30929"/>
    <w:rsid w:val="00B372AA"/>
    <w:rsid w:val="00B40445"/>
    <w:rsid w:val="00B41888"/>
    <w:rsid w:val="00B45A52"/>
    <w:rsid w:val="00B46175"/>
    <w:rsid w:val="00B616A3"/>
    <w:rsid w:val="00B6188F"/>
    <w:rsid w:val="00B664C7"/>
    <w:rsid w:val="00B739F6"/>
    <w:rsid w:val="00B81A6C"/>
    <w:rsid w:val="00B85DE5"/>
    <w:rsid w:val="00B90F73"/>
    <w:rsid w:val="00B93B59"/>
    <w:rsid w:val="00B9406A"/>
    <w:rsid w:val="00BA2280"/>
    <w:rsid w:val="00BA2A08"/>
    <w:rsid w:val="00BA56D2"/>
    <w:rsid w:val="00BA5DA3"/>
    <w:rsid w:val="00BA76E0"/>
    <w:rsid w:val="00BB2A25"/>
    <w:rsid w:val="00BB2C67"/>
    <w:rsid w:val="00BB51E9"/>
    <w:rsid w:val="00BC0FDC"/>
    <w:rsid w:val="00BC3053"/>
    <w:rsid w:val="00BC4D2E"/>
    <w:rsid w:val="00BD48AC"/>
    <w:rsid w:val="00BD5F1A"/>
    <w:rsid w:val="00BE1234"/>
    <w:rsid w:val="00BE2FA6"/>
    <w:rsid w:val="00BE333F"/>
    <w:rsid w:val="00BE7406"/>
    <w:rsid w:val="00BE7603"/>
    <w:rsid w:val="00BF3279"/>
    <w:rsid w:val="00BF74C7"/>
    <w:rsid w:val="00BF750C"/>
    <w:rsid w:val="00C015F1"/>
    <w:rsid w:val="00C01F33"/>
    <w:rsid w:val="00C02CC6"/>
    <w:rsid w:val="00C02E59"/>
    <w:rsid w:val="00C040F7"/>
    <w:rsid w:val="00C041B0"/>
    <w:rsid w:val="00C044AB"/>
    <w:rsid w:val="00C05706"/>
    <w:rsid w:val="00C07377"/>
    <w:rsid w:val="00C10478"/>
    <w:rsid w:val="00C12107"/>
    <w:rsid w:val="00C14D4B"/>
    <w:rsid w:val="00C154BB"/>
    <w:rsid w:val="00C24345"/>
    <w:rsid w:val="00C271B4"/>
    <w:rsid w:val="00C279B5"/>
    <w:rsid w:val="00C27C45"/>
    <w:rsid w:val="00C3719D"/>
    <w:rsid w:val="00C507F2"/>
    <w:rsid w:val="00C50A59"/>
    <w:rsid w:val="00C54995"/>
    <w:rsid w:val="00C54D41"/>
    <w:rsid w:val="00C60783"/>
    <w:rsid w:val="00C64672"/>
    <w:rsid w:val="00C7068C"/>
    <w:rsid w:val="00C70697"/>
    <w:rsid w:val="00C71142"/>
    <w:rsid w:val="00C72EF4"/>
    <w:rsid w:val="00C74F90"/>
    <w:rsid w:val="00C75D2F"/>
    <w:rsid w:val="00C767BE"/>
    <w:rsid w:val="00C76E3C"/>
    <w:rsid w:val="00C81568"/>
    <w:rsid w:val="00C9027A"/>
    <w:rsid w:val="00C9068E"/>
    <w:rsid w:val="00C9137B"/>
    <w:rsid w:val="00C93C4B"/>
    <w:rsid w:val="00C944AB"/>
    <w:rsid w:val="00C95B40"/>
    <w:rsid w:val="00C96FDF"/>
    <w:rsid w:val="00CA1ED8"/>
    <w:rsid w:val="00CA2523"/>
    <w:rsid w:val="00CB1F63"/>
    <w:rsid w:val="00CB7170"/>
    <w:rsid w:val="00CC040E"/>
    <w:rsid w:val="00CC111F"/>
    <w:rsid w:val="00CC1798"/>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1F7"/>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321"/>
    <w:rsid w:val="00D708B0"/>
    <w:rsid w:val="00D718BE"/>
    <w:rsid w:val="00D77B1D"/>
    <w:rsid w:val="00D8021F"/>
    <w:rsid w:val="00D80383"/>
    <w:rsid w:val="00D823C6"/>
    <w:rsid w:val="00D86CA3"/>
    <w:rsid w:val="00D871CE"/>
    <w:rsid w:val="00D9196D"/>
    <w:rsid w:val="00D91B47"/>
    <w:rsid w:val="00D92982"/>
    <w:rsid w:val="00DA1EE8"/>
    <w:rsid w:val="00DA305E"/>
    <w:rsid w:val="00DA5417"/>
    <w:rsid w:val="00DA56E8"/>
    <w:rsid w:val="00DA7077"/>
    <w:rsid w:val="00DB0A9F"/>
    <w:rsid w:val="00DB377D"/>
    <w:rsid w:val="00DB681A"/>
    <w:rsid w:val="00DC18D0"/>
    <w:rsid w:val="00DC2D36"/>
    <w:rsid w:val="00DC53EF"/>
    <w:rsid w:val="00DD7A14"/>
    <w:rsid w:val="00DE313E"/>
    <w:rsid w:val="00DE5608"/>
    <w:rsid w:val="00DE58D0"/>
    <w:rsid w:val="00DE654F"/>
    <w:rsid w:val="00DF0B6E"/>
    <w:rsid w:val="00DF15E0"/>
    <w:rsid w:val="00DF37A0"/>
    <w:rsid w:val="00E03970"/>
    <w:rsid w:val="00E07173"/>
    <w:rsid w:val="00E10728"/>
    <w:rsid w:val="00E110E7"/>
    <w:rsid w:val="00E11B20"/>
    <w:rsid w:val="00E17FA2"/>
    <w:rsid w:val="00E22330"/>
    <w:rsid w:val="00E30B5A"/>
    <w:rsid w:val="00E3123D"/>
    <w:rsid w:val="00E31461"/>
    <w:rsid w:val="00E31D43"/>
    <w:rsid w:val="00E32608"/>
    <w:rsid w:val="00E327D2"/>
    <w:rsid w:val="00E34188"/>
    <w:rsid w:val="00E34B6E"/>
    <w:rsid w:val="00E35559"/>
    <w:rsid w:val="00E3723A"/>
    <w:rsid w:val="00E37860"/>
    <w:rsid w:val="00E446F1"/>
    <w:rsid w:val="00E46886"/>
    <w:rsid w:val="00E47AEF"/>
    <w:rsid w:val="00E53B75"/>
    <w:rsid w:val="00E54E3B"/>
    <w:rsid w:val="00E57565"/>
    <w:rsid w:val="00E63838"/>
    <w:rsid w:val="00E64434"/>
    <w:rsid w:val="00E65AC7"/>
    <w:rsid w:val="00E67C51"/>
    <w:rsid w:val="00E72EFC"/>
    <w:rsid w:val="00E758EC"/>
    <w:rsid w:val="00E8234C"/>
    <w:rsid w:val="00E83AA9"/>
    <w:rsid w:val="00E84714"/>
    <w:rsid w:val="00E85928"/>
    <w:rsid w:val="00E87822"/>
    <w:rsid w:val="00E90395"/>
    <w:rsid w:val="00E90E49"/>
    <w:rsid w:val="00E917F9"/>
    <w:rsid w:val="00E9291C"/>
    <w:rsid w:val="00E93FFE"/>
    <w:rsid w:val="00E9467A"/>
    <w:rsid w:val="00E94F8A"/>
    <w:rsid w:val="00EA7A41"/>
    <w:rsid w:val="00EB077B"/>
    <w:rsid w:val="00EB4EA2"/>
    <w:rsid w:val="00EB68C1"/>
    <w:rsid w:val="00EC27C6"/>
    <w:rsid w:val="00EC4207"/>
    <w:rsid w:val="00EC5653"/>
    <w:rsid w:val="00EC71CE"/>
    <w:rsid w:val="00ED1006"/>
    <w:rsid w:val="00ED2A5E"/>
    <w:rsid w:val="00ED2BA5"/>
    <w:rsid w:val="00EF18FE"/>
    <w:rsid w:val="00EF5787"/>
    <w:rsid w:val="00EF60D0"/>
    <w:rsid w:val="00F051A7"/>
    <w:rsid w:val="00F0528D"/>
    <w:rsid w:val="00F06065"/>
    <w:rsid w:val="00F06C67"/>
    <w:rsid w:val="00F06DFD"/>
    <w:rsid w:val="00F071D1"/>
    <w:rsid w:val="00F07533"/>
    <w:rsid w:val="00F075E0"/>
    <w:rsid w:val="00F10629"/>
    <w:rsid w:val="00F1373F"/>
    <w:rsid w:val="00F15FA5"/>
    <w:rsid w:val="00F209B7"/>
    <w:rsid w:val="00F2376F"/>
    <w:rsid w:val="00F23F7D"/>
    <w:rsid w:val="00F243D8"/>
    <w:rsid w:val="00F272B3"/>
    <w:rsid w:val="00F27F41"/>
    <w:rsid w:val="00F30828"/>
    <w:rsid w:val="00F313D6"/>
    <w:rsid w:val="00F32B71"/>
    <w:rsid w:val="00F40F0C"/>
    <w:rsid w:val="00F46A37"/>
    <w:rsid w:val="00F4766C"/>
    <w:rsid w:val="00F507D1"/>
    <w:rsid w:val="00F519CE"/>
    <w:rsid w:val="00F51ADA"/>
    <w:rsid w:val="00F607C5"/>
    <w:rsid w:val="00F60DEA"/>
    <w:rsid w:val="00F62D02"/>
    <w:rsid w:val="00F6302A"/>
    <w:rsid w:val="00F64C2B"/>
    <w:rsid w:val="00F651BE"/>
    <w:rsid w:val="00F67F53"/>
    <w:rsid w:val="00F703BE"/>
    <w:rsid w:val="00F71F69"/>
    <w:rsid w:val="00F72B72"/>
    <w:rsid w:val="00F74BB9"/>
    <w:rsid w:val="00F75582"/>
    <w:rsid w:val="00F76EFA"/>
    <w:rsid w:val="00F804BE"/>
    <w:rsid w:val="00F817CE"/>
    <w:rsid w:val="00F8456C"/>
    <w:rsid w:val="00F85618"/>
    <w:rsid w:val="00F859D8"/>
    <w:rsid w:val="00F868F5"/>
    <w:rsid w:val="00F9056A"/>
    <w:rsid w:val="00F90F8D"/>
    <w:rsid w:val="00F92782"/>
    <w:rsid w:val="00F93AA9"/>
    <w:rsid w:val="00F96985"/>
    <w:rsid w:val="00F97838"/>
    <w:rsid w:val="00FA2BB3"/>
    <w:rsid w:val="00FB0FB4"/>
    <w:rsid w:val="00FB4C80"/>
    <w:rsid w:val="00FB6A6A"/>
    <w:rsid w:val="00FB7E40"/>
    <w:rsid w:val="00FC377D"/>
    <w:rsid w:val="00FC7429"/>
    <w:rsid w:val="00FD07F6"/>
    <w:rsid w:val="00FD1EC8"/>
    <w:rsid w:val="00FD47ED"/>
    <w:rsid w:val="00FD74DB"/>
    <w:rsid w:val="00FD7660"/>
    <w:rsid w:val="00FE0655"/>
    <w:rsid w:val="00FE2365"/>
    <w:rsid w:val="00FE4C7B"/>
    <w:rsid w:val="00FE7336"/>
    <w:rsid w:val="00FE787C"/>
    <w:rsid w:val="00FF325D"/>
    <w:rsid w:val="00FF429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tabs>
        <w:tab w:val="clear" w:pos="7382"/>
        <w:tab w:val="num" w:pos="720"/>
      </w:tabs>
      <w:spacing w:before="120"/>
      <w:ind w:left="7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link w:val="B1Char1"/>
    <w:qFormat/>
    <w:rsid w:val="008614FD"/>
    <w:pPr>
      <w:spacing w:after="180"/>
      <w:jc w:val="left"/>
    </w:pPr>
    <w:rPr>
      <w:lang w:eastAsia="en-US"/>
    </w:rPr>
  </w:style>
  <w:style w:type="paragraph" w:customStyle="1" w:styleId="B2">
    <w:name w:val="B2"/>
    <w:basedOn w:val="List2"/>
    <w:link w:val="B2Char"/>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left" w:pos="1701"/>
      </w:tabs>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 w:type="paragraph" w:customStyle="1" w:styleId="3GPPAgreements">
    <w:name w:val="3GPP Agreements"/>
    <w:basedOn w:val="Normal"/>
    <w:link w:val="3GPPAgreementsChar"/>
    <w:qFormat/>
    <w:rsid w:val="0027172F"/>
    <w:pPr>
      <w:numPr>
        <w:numId w:val="16"/>
      </w:numPr>
      <w:overflowPunct/>
      <w:autoSpaceDE/>
      <w:autoSpaceDN/>
      <w:adjustRightInd/>
      <w:spacing w:before="60" w:after="60" w:line="256" w:lineRule="auto"/>
      <w:textAlignment w:val="auto"/>
    </w:pPr>
    <w:rPr>
      <w:rFonts w:asciiTheme="minorHAnsi" w:eastAsia="SimSun" w:hAnsiTheme="minorHAnsi" w:cstheme="minorBidi"/>
      <w:sz w:val="22"/>
      <w:szCs w:val="22"/>
      <w:lang w:val="en-US"/>
    </w:rPr>
  </w:style>
  <w:style w:type="character" w:customStyle="1" w:styleId="diffaddedchars">
    <w:name w:val="diffaddedchars"/>
    <w:basedOn w:val="DefaultParagraphFont"/>
    <w:rsid w:val="007A6970"/>
  </w:style>
  <w:style w:type="paragraph" w:styleId="PlainText">
    <w:name w:val="Plain Text"/>
    <w:basedOn w:val="Normal"/>
    <w:link w:val="PlainTextChar"/>
    <w:uiPriority w:val="99"/>
    <w:unhideWhenUsed/>
    <w:rsid w:val="00B305E2"/>
    <w:pPr>
      <w:overflowPunct/>
      <w:autoSpaceDE/>
      <w:autoSpaceDN/>
      <w:adjustRightInd/>
      <w:spacing w:after="0"/>
      <w:jc w:val="left"/>
      <w:textAlignment w:val="auto"/>
    </w:pPr>
    <w:rPr>
      <w:rFonts w:ascii="Calibri" w:eastAsiaTheme="minorHAnsi" w:hAnsi="Calibri" w:cstheme="minorBidi"/>
      <w:sz w:val="22"/>
      <w:szCs w:val="21"/>
      <w:lang w:val="sv-SE" w:eastAsia="en-US"/>
    </w:rPr>
  </w:style>
  <w:style w:type="character" w:customStyle="1" w:styleId="PlainTextChar">
    <w:name w:val="Plain Text Char"/>
    <w:basedOn w:val="DefaultParagraphFont"/>
    <w:link w:val="PlainText"/>
    <w:uiPriority w:val="99"/>
    <w:rsid w:val="00B305E2"/>
    <w:rPr>
      <w:rFonts w:ascii="Calibri" w:eastAsiaTheme="minorHAnsi" w:hAnsi="Calibri" w:cstheme="minorBidi"/>
      <w:sz w:val="22"/>
      <w:szCs w:val="21"/>
      <w:lang w:val="sv-SE"/>
    </w:rPr>
  </w:style>
  <w:style w:type="character" w:customStyle="1" w:styleId="B1Char1">
    <w:name w:val="B1 Char1"/>
    <w:link w:val="B1"/>
    <w:qFormat/>
    <w:rsid w:val="00FB0FB4"/>
    <w:rPr>
      <w:rFonts w:ascii="Arial" w:hAnsi="Arial"/>
      <w:lang w:val="en-GB"/>
    </w:rPr>
  </w:style>
  <w:style w:type="character" w:customStyle="1" w:styleId="3GPPAgreementsChar">
    <w:name w:val="3GPP Agreements Char"/>
    <w:link w:val="3GPPAgreements"/>
    <w:rsid w:val="00F46A37"/>
    <w:rPr>
      <w:rFonts w:asciiTheme="minorHAnsi" w:eastAsia="SimSun" w:hAnsiTheme="minorHAnsi" w:cstheme="minorBidi"/>
      <w:sz w:val="22"/>
      <w:szCs w:val="22"/>
      <w:lang w:eastAsia="zh-CN"/>
    </w:rPr>
  </w:style>
  <w:style w:type="paragraph" w:styleId="NormalWeb">
    <w:name w:val="Normal (Web)"/>
    <w:basedOn w:val="Normal"/>
    <w:uiPriority w:val="99"/>
    <w:unhideWhenUsed/>
    <w:rsid w:val="000D6401"/>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B2Char">
    <w:name w:val="B2 Char"/>
    <w:basedOn w:val="DefaultParagraphFont"/>
    <w:link w:val="B2"/>
    <w:locked/>
    <w:rsid w:val="00042545"/>
    <w:rPr>
      <w:rFonts w:ascii="Arial" w:hAnsi="Arial"/>
      <w:lang w:val="en-GB"/>
    </w:rPr>
  </w:style>
  <w:style w:type="paragraph" w:styleId="ListParagraph">
    <w:name w:val="List Paragraph"/>
    <w:basedOn w:val="Normal"/>
    <w:uiPriority w:val="34"/>
    <w:qFormat/>
    <w:rsid w:val="00042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4172">
      <w:bodyDiv w:val="1"/>
      <w:marLeft w:val="0"/>
      <w:marRight w:val="0"/>
      <w:marTop w:val="0"/>
      <w:marBottom w:val="0"/>
      <w:divBdr>
        <w:top w:val="none" w:sz="0" w:space="0" w:color="auto"/>
        <w:left w:val="none" w:sz="0" w:space="0" w:color="auto"/>
        <w:bottom w:val="none" w:sz="0" w:space="0" w:color="auto"/>
        <w:right w:val="none" w:sz="0" w:space="0" w:color="auto"/>
      </w:divBdr>
    </w:div>
    <w:div w:id="259266634">
      <w:bodyDiv w:val="1"/>
      <w:marLeft w:val="0"/>
      <w:marRight w:val="0"/>
      <w:marTop w:val="0"/>
      <w:marBottom w:val="0"/>
      <w:divBdr>
        <w:top w:val="none" w:sz="0" w:space="0" w:color="auto"/>
        <w:left w:val="none" w:sz="0" w:space="0" w:color="auto"/>
        <w:bottom w:val="none" w:sz="0" w:space="0" w:color="auto"/>
        <w:right w:val="none" w:sz="0" w:space="0" w:color="auto"/>
      </w:divBdr>
    </w:div>
    <w:div w:id="427848670">
      <w:bodyDiv w:val="1"/>
      <w:marLeft w:val="0"/>
      <w:marRight w:val="0"/>
      <w:marTop w:val="0"/>
      <w:marBottom w:val="0"/>
      <w:divBdr>
        <w:top w:val="none" w:sz="0" w:space="0" w:color="auto"/>
        <w:left w:val="none" w:sz="0" w:space="0" w:color="auto"/>
        <w:bottom w:val="none" w:sz="0" w:space="0" w:color="auto"/>
        <w:right w:val="none" w:sz="0" w:space="0" w:color="auto"/>
      </w:divBdr>
    </w:div>
    <w:div w:id="741488264">
      <w:bodyDiv w:val="1"/>
      <w:marLeft w:val="0"/>
      <w:marRight w:val="0"/>
      <w:marTop w:val="0"/>
      <w:marBottom w:val="0"/>
      <w:divBdr>
        <w:top w:val="none" w:sz="0" w:space="0" w:color="auto"/>
        <w:left w:val="none" w:sz="0" w:space="0" w:color="auto"/>
        <w:bottom w:val="none" w:sz="0" w:space="0" w:color="auto"/>
        <w:right w:val="none" w:sz="0" w:space="0" w:color="auto"/>
      </w:divBdr>
      <w:divsChild>
        <w:div w:id="1632831198">
          <w:marLeft w:val="202"/>
          <w:marRight w:val="0"/>
          <w:marTop w:val="86"/>
          <w:marBottom w:val="0"/>
          <w:divBdr>
            <w:top w:val="none" w:sz="0" w:space="0" w:color="auto"/>
            <w:left w:val="none" w:sz="0" w:space="0" w:color="auto"/>
            <w:bottom w:val="none" w:sz="0" w:space="0" w:color="auto"/>
            <w:right w:val="none" w:sz="0" w:space="0" w:color="auto"/>
          </w:divBdr>
        </w:div>
        <w:div w:id="2138402952">
          <w:marLeft w:val="202"/>
          <w:marRight w:val="0"/>
          <w:marTop w:val="86"/>
          <w:marBottom w:val="0"/>
          <w:divBdr>
            <w:top w:val="none" w:sz="0" w:space="0" w:color="auto"/>
            <w:left w:val="none" w:sz="0" w:space="0" w:color="auto"/>
            <w:bottom w:val="none" w:sz="0" w:space="0" w:color="auto"/>
            <w:right w:val="none" w:sz="0" w:space="0" w:color="auto"/>
          </w:divBdr>
        </w:div>
        <w:div w:id="489293666">
          <w:marLeft w:val="634"/>
          <w:marRight w:val="0"/>
          <w:marTop w:val="72"/>
          <w:marBottom w:val="0"/>
          <w:divBdr>
            <w:top w:val="none" w:sz="0" w:space="0" w:color="auto"/>
            <w:left w:val="none" w:sz="0" w:space="0" w:color="auto"/>
            <w:bottom w:val="none" w:sz="0" w:space="0" w:color="auto"/>
            <w:right w:val="none" w:sz="0" w:space="0" w:color="auto"/>
          </w:divBdr>
        </w:div>
        <w:div w:id="953514758">
          <w:marLeft w:val="202"/>
          <w:marRight w:val="0"/>
          <w:marTop w:val="86"/>
          <w:marBottom w:val="0"/>
          <w:divBdr>
            <w:top w:val="none" w:sz="0" w:space="0" w:color="auto"/>
            <w:left w:val="none" w:sz="0" w:space="0" w:color="auto"/>
            <w:bottom w:val="none" w:sz="0" w:space="0" w:color="auto"/>
            <w:right w:val="none" w:sz="0" w:space="0" w:color="auto"/>
          </w:divBdr>
        </w:div>
        <w:div w:id="1867475575">
          <w:marLeft w:val="634"/>
          <w:marRight w:val="0"/>
          <w:marTop w:val="72"/>
          <w:marBottom w:val="0"/>
          <w:divBdr>
            <w:top w:val="none" w:sz="0" w:space="0" w:color="auto"/>
            <w:left w:val="none" w:sz="0" w:space="0" w:color="auto"/>
            <w:bottom w:val="none" w:sz="0" w:space="0" w:color="auto"/>
            <w:right w:val="none" w:sz="0" w:space="0" w:color="auto"/>
          </w:divBdr>
        </w:div>
        <w:div w:id="1623927205">
          <w:marLeft w:val="634"/>
          <w:marRight w:val="0"/>
          <w:marTop w:val="72"/>
          <w:marBottom w:val="0"/>
          <w:divBdr>
            <w:top w:val="none" w:sz="0" w:space="0" w:color="auto"/>
            <w:left w:val="none" w:sz="0" w:space="0" w:color="auto"/>
            <w:bottom w:val="none" w:sz="0" w:space="0" w:color="auto"/>
            <w:right w:val="none" w:sz="0" w:space="0" w:color="auto"/>
          </w:divBdr>
        </w:div>
        <w:div w:id="34090263">
          <w:marLeft w:val="202"/>
          <w:marRight w:val="0"/>
          <w:marTop w:val="86"/>
          <w:marBottom w:val="0"/>
          <w:divBdr>
            <w:top w:val="none" w:sz="0" w:space="0" w:color="auto"/>
            <w:left w:val="none" w:sz="0" w:space="0" w:color="auto"/>
            <w:bottom w:val="none" w:sz="0" w:space="0" w:color="auto"/>
            <w:right w:val="none" w:sz="0" w:space="0" w:color="auto"/>
          </w:divBdr>
        </w:div>
        <w:div w:id="647638336">
          <w:marLeft w:val="634"/>
          <w:marRight w:val="0"/>
          <w:marTop w:val="72"/>
          <w:marBottom w:val="0"/>
          <w:divBdr>
            <w:top w:val="none" w:sz="0" w:space="0" w:color="auto"/>
            <w:left w:val="none" w:sz="0" w:space="0" w:color="auto"/>
            <w:bottom w:val="none" w:sz="0" w:space="0" w:color="auto"/>
            <w:right w:val="none" w:sz="0" w:space="0" w:color="auto"/>
          </w:divBdr>
        </w:div>
        <w:div w:id="1427270138">
          <w:marLeft w:val="634"/>
          <w:marRight w:val="0"/>
          <w:marTop w:val="72"/>
          <w:marBottom w:val="0"/>
          <w:divBdr>
            <w:top w:val="none" w:sz="0" w:space="0" w:color="auto"/>
            <w:left w:val="none" w:sz="0" w:space="0" w:color="auto"/>
            <w:bottom w:val="none" w:sz="0" w:space="0" w:color="auto"/>
            <w:right w:val="none" w:sz="0" w:space="0" w:color="auto"/>
          </w:divBdr>
        </w:div>
        <w:div w:id="1013917182">
          <w:marLeft w:val="634"/>
          <w:marRight w:val="0"/>
          <w:marTop w:val="72"/>
          <w:marBottom w:val="0"/>
          <w:divBdr>
            <w:top w:val="none" w:sz="0" w:space="0" w:color="auto"/>
            <w:left w:val="none" w:sz="0" w:space="0" w:color="auto"/>
            <w:bottom w:val="none" w:sz="0" w:space="0" w:color="auto"/>
            <w:right w:val="none" w:sz="0" w:space="0" w:color="auto"/>
          </w:divBdr>
        </w:div>
        <w:div w:id="1315379433">
          <w:marLeft w:val="202"/>
          <w:marRight w:val="0"/>
          <w:marTop w:val="86"/>
          <w:marBottom w:val="0"/>
          <w:divBdr>
            <w:top w:val="none" w:sz="0" w:space="0" w:color="auto"/>
            <w:left w:val="none" w:sz="0" w:space="0" w:color="auto"/>
            <w:bottom w:val="none" w:sz="0" w:space="0" w:color="auto"/>
            <w:right w:val="none" w:sz="0" w:space="0" w:color="auto"/>
          </w:divBdr>
        </w:div>
        <w:div w:id="2060781762">
          <w:marLeft w:val="634"/>
          <w:marRight w:val="0"/>
          <w:marTop w:val="72"/>
          <w:marBottom w:val="0"/>
          <w:divBdr>
            <w:top w:val="none" w:sz="0" w:space="0" w:color="auto"/>
            <w:left w:val="none" w:sz="0" w:space="0" w:color="auto"/>
            <w:bottom w:val="none" w:sz="0" w:space="0" w:color="auto"/>
            <w:right w:val="none" w:sz="0" w:space="0" w:color="auto"/>
          </w:divBdr>
        </w:div>
        <w:div w:id="260994541">
          <w:marLeft w:val="202"/>
          <w:marRight w:val="0"/>
          <w:marTop w:val="86"/>
          <w:marBottom w:val="0"/>
          <w:divBdr>
            <w:top w:val="none" w:sz="0" w:space="0" w:color="auto"/>
            <w:left w:val="none" w:sz="0" w:space="0" w:color="auto"/>
            <w:bottom w:val="none" w:sz="0" w:space="0" w:color="auto"/>
            <w:right w:val="none" w:sz="0" w:space="0" w:color="auto"/>
          </w:divBdr>
        </w:div>
      </w:divsChild>
    </w:div>
    <w:div w:id="770316052">
      <w:bodyDiv w:val="1"/>
      <w:marLeft w:val="0"/>
      <w:marRight w:val="0"/>
      <w:marTop w:val="0"/>
      <w:marBottom w:val="0"/>
      <w:divBdr>
        <w:top w:val="none" w:sz="0" w:space="0" w:color="auto"/>
        <w:left w:val="none" w:sz="0" w:space="0" w:color="auto"/>
        <w:bottom w:val="none" w:sz="0" w:space="0" w:color="auto"/>
        <w:right w:val="none" w:sz="0" w:space="0" w:color="auto"/>
      </w:divBdr>
    </w:div>
    <w:div w:id="1004208454">
      <w:bodyDiv w:val="1"/>
      <w:marLeft w:val="0"/>
      <w:marRight w:val="0"/>
      <w:marTop w:val="0"/>
      <w:marBottom w:val="0"/>
      <w:divBdr>
        <w:top w:val="none" w:sz="0" w:space="0" w:color="auto"/>
        <w:left w:val="none" w:sz="0" w:space="0" w:color="auto"/>
        <w:bottom w:val="none" w:sz="0" w:space="0" w:color="auto"/>
        <w:right w:val="none" w:sz="0" w:space="0" w:color="auto"/>
      </w:divBdr>
    </w:div>
    <w:div w:id="114473476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9b239327-9e80-40e4-b1b7-4394fed77a33"/>
    <ds:schemaRef ds:uri="2f282d3b-eb4a-4b09-b61f-b9593442e286"/>
    <ds:schemaRef ds:uri="http://www.w3.org/XML/1998/namespace"/>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7137825C-FA7C-4A5C-9246-E890631EA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86DB7A-D536-4655-868C-313F164E8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TotalTime>
  <Pages>3</Pages>
  <Words>1175</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Ericsson</cp:lastModifiedBy>
  <cp:revision>13</cp:revision>
  <cp:lastPrinted>2008-01-31T16:09:00Z</cp:lastPrinted>
  <dcterms:created xsi:type="dcterms:W3CDTF">2019-08-14T11:24:00Z</dcterms:created>
  <dcterms:modified xsi:type="dcterms:W3CDTF">2019-08-15T15:25:00Z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51b7a3ba-4cb9-4f0b-813a-e6016e6e265f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ies>
</file>